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附表2</w:t>
      </w:r>
    </w:p>
    <w:p>
      <w:pPr>
        <w:spacing w:afterLines="5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课程教学大纲</w:t>
      </w:r>
    </w:p>
    <w:p>
      <w:pPr>
        <w:ind w:firstLine="1050" w:firstLineChars="500"/>
      </w:pPr>
    </w:p>
    <w:tbl>
      <w:tblPr>
        <w:tblStyle w:val="9"/>
        <w:tblW w:w="9924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924" w:type="dxa"/>
            <w:gridSpan w:val="8"/>
            <w:shd w:val="clear" w:color="auto" w:fill="9FD3A4" w:themeFill="background1" w:themeFillShade="D9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课程代码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Code）</w:t>
            </w:r>
          </w:p>
        </w:tc>
        <w:tc>
          <w:tcPr>
            <w:tcW w:w="1265" w:type="dxa"/>
            <w:vAlign w:val="center"/>
          </w:tcPr>
          <w:p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S0301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>
            <w:pPr>
              <w:jc w:val="center"/>
              <w:rPr>
                <w:w w:val="90"/>
              </w:rPr>
            </w:pPr>
            <w:r>
              <w:rPr>
                <w:w w:val="90"/>
              </w:rPr>
              <w:t>（Credit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</w:pPr>
            <w:r>
              <w:t>32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>
            <w:pPr>
              <w:jc w:val="center"/>
            </w:pPr>
            <w:r>
              <w:t>（Credits）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rPr>
                <w:color w:val="00B050"/>
              </w:rPr>
            </w:pPr>
            <w:r>
              <w:rPr>
                <w:color w:val="00B05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40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Name）</w:t>
            </w:r>
          </w:p>
        </w:tc>
        <w:tc>
          <w:tcPr>
            <w:tcW w:w="7518" w:type="dxa"/>
            <w:gridSpan w:val="7"/>
            <w:vAlign w:val="center"/>
          </w:tcPr>
          <w:p>
            <w:r>
              <w:rPr>
                <w:rFonts w:hint="eastAsia"/>
              </w:rPr>
              <w:t>日常生活中的心理学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6" w:type="dxa"/>
            <w:vMerge w:val="continue"/>
          </w:tcPr>
          <w:p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>
            <w:pPr>
              <w:pStyle w:val="15"/>
              <w:shd w:val="clear" w:color="auto" w:fill="F9F9F9"/>
              <w:rPr>
                <w:color w:val="00B050"/>
              </w:rPr>
            </w:pPr>
            <w:r>
              <w:rPr>
                <w:rFonts w:ascii="Arial" w:hAnsi="Arial" w:cs="Arial"/>
              </w:rPr>
              <w:t xml:space="preserve">Psychology in </w:t>
            </w:r>
            <w:r>
              <w:rPr>
                <w:rFonts w:hint="eastAsia"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aily </w:t>
            </w:r>
            <w:r>
              <w:rPr>
                <w:rFonts w:hint="eastAsia" w:ascii="Arial" w:hAnsi="Arial" w:cs="Arial"/>
              </w:rPr>
              <w:t>L</w:t>
            </w:r>
            <w:r>
              <w:rPr>
                <w:rFonts w:ascii="Arial" w:hAnsi="Arial" w:cs="Arial"/>
              </w:rPr>
              <w:t>ife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课程性质</w:t>
            </w:r>
          </w:p>
          <w:p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公选选修课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授课对象</w:t>
            </w:r>
          </w:p>
          <w:p>
            <w:pPr>
              <w:jc w:val="center"/>
            </w:pPr>
            <w:r>
              <w:rPr>
                <w:rFonts w:hint="eastAsia"/>
              </w:rPr>
              <w:t>（Target Audience）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授课语言</w:t>
            </w:r>
          </w:p>
          <w:p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>
            <w:pPr>
              <w:jc w:val="center"/>
            </w:pPr>
            <w:r>
              <w:rPr>
                <w:rFonts w:hint="eastAsia"/>
              </w:rPr>
              <w:t>（School）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学指委心理咨询中心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先修课程</w:t>
            </w:r>
          </w:p>
          <w:p>
            <w:pPr>
              <w:jc w:val="center"/>
            </w:pPr>
            <w:r>
              <w:rPr>
                <w:rFonts w:hint="eastAsia"/>
              </w:rPr>
              <w:t>（Prerequisite）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授课教师</w:t>
            </w:r>
          </w:p>
          <w:p>
            <w:pPr>
              <w:jc w:val="center"/>
            </w:pPr>
            <w:r>
              <w:rPr>
                <w:rFonts w:hint="eastAsia"/>
              </w:rPr>
              <w:t>（Instructor）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易晓明</w:t>
            </w:r>
          </w:p>
        </w:tc>
        <w:tc>
          <w:tcPr>
            <w:tcW w:w="209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课程网址</w:t>
            </w:r>
          </w:p>
          <w:p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本课程为面向交大本科生的公选选修课程。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主要教学内容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大学期间应做的几件事——基于生涯发展心理学的视角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1：健康充实的大学历程应包括的因素； 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2：学业成就以及知识拓展与未来职业成就的关系； 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3：人际交往以及社会活动在大学生活中的地位。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人际交往中的心理现象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1：人际交往中得体的言语和行为标准；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2：如何与挑剔者相处；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3：如何与嫉妒者相处；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4：如何对待恶意的谣言；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5：如果与暴躁者相处；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6：补充性案例分析。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对彼得.德鲁克《个人的管理》一书的阅读与讨论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1：我们所处的时代对知识劳动者的要求；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2：彼得德鲁克的时间管理思想；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3：当代知识劳动者的个人生涯设计应考虑的问题。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身心健康的维持和提高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1：人的基本属性及其寓意；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2：人与几种环境因素的互动；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3：基于生态学思想的身心健康理论；</w:t>
            </w:r>
          </w:p>
          <w:p>
            <w:pPr>
              <w:pStyle w:val="10"/>
              <w:ind w:left="36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4：身心健康方面补充性案例研讨。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课程教学目标</w:t>
            </w:r>
          </w:p>
          <w:p>
            <w:pPr>
              <w:pStyle w:val="10"/>
              <w:ind w:left="42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传授与人格分析、生涯发展、人际关系、时间管理、个人健康有关的心理学知识，培养相关技能。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本课堂教学特点概述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与大学生日常生活紧密结合；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学生的发言和讨论占一半以上的比例；</w:t>
            </w:r>
          </w:p>
          <w:p>
            <w:pPr>
              <w:pStyle w:val="10"/>
              <w:numPr>
                <w:ilvl w:val="1"/>
                <w:numId w:val="1"/>
              </w:numPr>
              <w:ind w:firstLineChars="0"/>
            </w:pPr>
            <w:r>
              <w:rPr>
                <w:rFonts w:hint="eastAsia"/>
              </w:rPr>
              <w:t>强调科学性（老师的结论和建议基于心理咨询实践以及研究报告）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24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（Description）</w:t>
            </w:r>
          </w:p>
        </w:tc>
        <w:tc>
          <w:tcPr>
            <w:tcW w:w="751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15"/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This </w:t>
            </w:r>
            <w:r>
              <w:rPr>
                <w:rFonts w:hint="eastAsia"/>
                <w:sz w:val="21"/>
                <w:szCs w:val="21"/>
              </w:rPr>
              <w:t xml:space="preserve">is a </w:t>
            </w:r>
            <w:r>
              <w:rPr>
                <w:rFonts w:ascii="Arial" w:hAnsi="Arial" w:cs="Arial"/>
                <w:sz w:val="21"/>
                <w:szCs w:val="21"/>
              </w:rPr>
              <w:t>Public elective course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for undergraduates.</w:t>
            </w:r>
          </w:p>
          <w:p>
            <w:pPr>
              <w:pStyle w:val="15"/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sz w:val="21"/>
                <w:szCs w:val="21"/>
              </w:rPr>
              <w:t>Main content of the course</w:t>
            </w:r>
          </w:p>
          <w:p>
            <w:pPr>
              <w:pStyle w:val="15"/>
              <w:numPr>
                <w:ilvl w:val="0"/>
                <w:numId w:val="2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</w:t>
            </w:r>
            <w:r>
              <w:rPr>
                <w:rFonts w:hint="eastAsia" w:ascii="Arial" w:hAnsi="Arial" w:cs="Arial"/>
                <w:sz w:val="21"/>
                <w:szCs w:val="21"/>
              </w:rPr>
              <w:t>he most important things</w:t>
            </w:r>
            <w:r>
              <w:rPr>
                <w:rFonts w:ascii="Arial" w:hAnsi="Arial" w:cs="Arial"/>
                <w:sz w:val="21"/>
                <w:szCs w:val="21"/>
              </w:rPr>
              <w:t xml:space="preserve"> during the period of university -- Based on the perspective of career development psychology</w:t>
            </w:r>
            <w:r>
              <w:rPr>
                <w:rFonts w:hint="eastAsia" w:ascii="Arial" w:hAnsi="Arial" w:cs="Arial"/>
                <w:sz w:val="21"/>
                <w:szCs w:val="21"/>
              </w:rPr>
              <w:t>;</w:t>
            </w:r>
          </w:p>
          <w:p>
            <w:pPr>
              <w:pStyle w:val="15"/>
              <w:numPr>
                <w:ilvl w:val="0"/>
                <w:numId w:val="3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</w:t>
            </w:r>
            <w:r>
              <w:rPr>
                <w:rFonts w:hint="eastAsia" w:ascii="Arial" w:hAnsi="Arial" w:cs="Arial"/>
                <w:sz w:val="21"/>
                <w:szCs w:val="21"/>
              </w:rPr>
              <w:t>he main factors of the happy and effective campus career;</w:t>
            </w:r>
          </w:p>
          <w:p>
            <w:pPr>
              <w:pStyle w:val="15"/>
              <w:numPr>
                <w:ilvl w:val="0"/>
                <w:numId w:val="3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</w:t>
            </w:r>
            <w:r>
              <w:rPr>
                <w:rFonts w:hint="eastAsia" w:ascii="Arial" w:hAnsi="Arial" w:cs="Arial"/>
                <w:sz w:val="21"/>
                <w:szCs w:val="21"/>
              </w:rPr>
              <w:t>cademic achievement, knowledge development and their relationship with future career achievement</w:t>
            </w:r>
          </w:p>
          <w:p>
            <w:pPr>
              <w:pStyle w:val="15"/>
              <w:numPr>
                <w:ilvl w:val="0"/>
                <w:numId w:val="3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</w:t>
            </w:r>
            <w:r>
              <w:rPr>
                <w:rFonts w:hint="eastAsia" w:ascii="Arial" w:hAnsi="Arial" w:cs="Arial"/>
                <w:sz w:val="21"/>
                <w:szCs w:val="21"/>
              </w:rPr>
              <w:t>nterpersonal and social activities in college life</w:t>
            </w:r>
          </w:p>
          <w:p>
            <w:pPr>
              <w:pStyle w:val="15"/>
              <w:numPr>
                <w:ilvl w:val="0"/>
                <w:numId w:val="2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Style w:val="16"/>
                <w:rFonts w:hint="eastAsia" w:ascii="Arial" w:hAnsi="Arial" w:cs="Arial"/>
                <w:sz w:val="21"/>
                <w:szCs w:val="21"/>
              </w:rPr>
              <w:t>T</w:t>
            </w:r>
            <w:r>
              <w:rPr>
                <w:rStyle w:val="16"/>
                <w:rFonts w:ascii="Arial" w:hAnsi="Arial" w:cs="Arial"/>
                <w:sz w:val="21"/>
                <w:szCs w:val="21"/>
              </w:rPr>
              <w:t>he psychological phenomenon in interpersonal communication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S</w:t>
            </w:r>
            <w:r>
              <w:rPr>
                <w:rFonts w:ascii="Arial" w:hAnsi="Arial" w:cs="Arial"/>
                <w:sz w:val="21"/>
                <w:szCs w:val="21"/>
              </w:rPr>
              <w:t>tandards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of a</w:t>
            </w:r>
            <w:r>
              <w:rPr>
                <w:rFonts w:ascii="Arial" w:hAnsi="Arial" w:cs="Arial"/>
                <w:sz w:val="21"/>
                <w:szCs w:val="21"/>
              </w:rPr>
              <w:t>ppropriate speech and behavior in interpersonal communication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How to get along with the picky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 xml:space="preserve">How to get along with </w:t>
            </w:r>
            <w:r>
              <w:rPr>
                <w:rFonts w:ascii="Arial" w:hAnsi="Arial" w:cs="Arial"/>
                <w:sz w:val="21"/>
                <w:szCs w:val="21"/>
              </w:rPr>
              <w:t>the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jealous;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How to deal with rumor;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How to get along with the hot tempered person;</w:t>
            </w:r>
          </w:p>
          <w:p>
            <w:pPr>
              <w:pStyle w:val="15"/>
              <w:numPr>
                <w:ilvl w:val="0"/>
                <w:numId w:val="4"/>
              </w:numPr>
              <w:shd w:val="clear" w:color="auto" w:fill="F9F9F9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>
              <w:rPr>
                <w:rFonts w:hint="eastAsia" w:ascii="Arial" w:hAnsi="Arial" w:cs="Arial"/>
                <w:sz w:val="21"/>
                <w:szCs w:val="21"/>
              </w:rPr>
              <w:t>upplementary case analysis</w:t>
            </w:r>
          </w:p>
          <w:p>
            <w:pPr>
              <w:pStyle w:val="15"/>
              <w:numPr>
                <w:ilvl w:val="0"/>
                <w:numId w:val="2"/>
              </w:numPr>
              <w:shd w:val="clear" w:color="auto" w:fill="F9F9F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Reading and discussion to Peter Drucker</w:t>
            </w:r>
            <w:r>
              <w:rPr>
                <w:rFonts w:ascii="Arial" w:hAnsi="Arial" w:cs="Arial"/>
                <w:sz w:val="21"/>
                <w:szCs w:val="21"/>
              </w:rPr>
              <w:t>’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hAnsi="Arial" w:cs="Arial"/>
                <w:sz w:val="21"/>
                <w:szCs w:val="21"/>
              </w:rPr>
              <w:t>“</w:t>
            </w:r>
            <w:r>
              <w:rPr>
                <w:rFonts w:hint="eastAsia" w:ascii="Arial" w:hAnsi="Arial" w:cs="Arial"/>
                <w:sz w:val="21"/>
                <w:szCs w:val="21"/>
              </w:rPr>
              <w:t>Personal management</w:t>
            </w:r>
            <w:r>
              <w:rPr>
                <w:rFonts w:ascii="Arial" w:hAnsi="Arial" w:cs="Arial"/>
                <w:sz w:val="21"/>
                <w:szCs w:val="21"/>
              </w:rPr>
              <w:t xml:space="preserve">” </w:t>
            </w:r>
          </w:p>
          <w:p>
            <w:pPr>
              <w:pStyle w:val="10"/>
              <w:numPr>
                <w:ilvl w:val="0"/>
                <w:numId w:val="5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Requirements for knowledge workers of our times</w:t>
            </w:r>
          </w:p>
          <w:p>
            <w:pPr>
              <w:pStyle w:val="10"/>
              <w:numPr>
                <w:ilvl w:val="0"/>
                <w:numId w:val="5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Peter Drucker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time management thought</w:t>
            </w:r>
          </w:p>
          <w:p>
            <w:pPr>
              <w:pStyle w:val="10"/>
              <w:numPr>
                <w:ilvl w:val="0"/>
                <w:numId w:val="5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szCs w:val="21"/>
              </w:rPr>
              <w:t>Problems in the design of individual career of contemporary knowledge workers</w:t>
            </w: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How to maintain and improve the physical and mental health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Man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basic attribute and it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s implication 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Interaction between human and several environmental factors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Physical and mental health theory based on ecological theory</w:t>
            </w:r>
          </w:p>
          <w:p>
            <w:pPr>
              <w:pStyle w:val="10"/>
              <w:numPr>
                <w:ilvl w:val="0"/>
                <w:numId w:val="6"/>
              </w:numPr>
              <w:ind w:firstLineChars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Supplementary case analysis</w:t>
            </w:r>
          </w:p>
          <w:p>
            <w:pPr>
              <w:pStyle w:val="15"/>
              <w:shd w:val="clear" w:color="auto" w:fill="F9F9F9"/>
              <w:ind w:firstLine="422"/>
              <w:rPr>
                <w:rFonts w:ascii="Arial" w:hAnsi="Arial" w:cs="Arial"/>
                <w:sz w:val="21"/>
                <w:szCs w:val="21"/>
              </w:rPr>
            </w:pPr>
            <w:r>
              <w:rPr>
                <w:rStyle w:val="16"/>
                <w:rFonts w:ascii="Arial" w:hAnsi="Arial" w:cs="Arial"/>
                <w:sz w:val="21"/>
                <w:szCs w:val="21"/>
              </w:rPr>
              <w:t>2、</w:t>
            </w:r>
            <w:r>
              <w:rPr>
                <w:rStyle w:val="16"/>
                <w:rFonts w:hint="eastAsia" w:ascii="Arial" w:hAnsi="Arial" w:cs="Arial"/>
                <w:sz w:val="21"/>
                <w:szCs w:val="21"/>
              </w:rPr>
              <w:t>T</w:t>
            </w:r>
            <w:r>
              <w:rPr>
                <w:rStyle w:val="16"/>
                <w:rFonts w:ascii="Arial" w:hAnsi="Arial" w:cs="Arial"/>
                <w:sz w:val="21"/>
                <w:szCs w:val="21"/>
              </w:rPr>
              <w:t>he curriculum teaching goal</w:t>
            </w:r>
          </w:p>
          <w:p>
            <w:pPr>
              <w:pStyle w:val="15"/>
              <w:shd w:val="clear" w:color="auto" w:fill="F9F9F9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Impart knowledge about </w:t>
            </w:r>
            <w:r>
              <w:rPr>
                <w:sz w:val="21"/>
                <w:szCs w:val="21"/>
              </w:rPr>
              <w:t>personality analysis, career development, interpersonal relationship, time management</w:t>
            </w:r>
            <w:r>
              <w:rPr>
                <w:rFonts w:hint="eastAsia"/>
                <w:sz w:val="21"/>
                <w:szCs w:val="21"/>
              </w:rPr>
              <w:t xml:space="preserve"> and</w:t>
            </w:r>
            <w:r>
              <w:rPr>
                <w:sz w:val="21"/>
                <w:szCs w:val="21"/>
              </w:rPr>
              <w:t xml:space="preserve"> personal health, training related skills.</w:t>
            </w:r>
          </w:p>
          <w:p>
            <w:pPr>
              <w:pStyle w:val="15"/>
              <w:numPr>
                <w:ilvl w:val="1"/>
                <w:numId w:val="1"/>
              </w:numPr>
              <w:shd w:val="clear" w:color="auto" w:fill="F9F9F9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The teaching style of our class</w:t>
            </w:r>
          </w:p>
          <w:p>
            <w:pPr>
              <w:pStyle w:val="15"/>
              <w:shd w:val="clear" w:color="auto" w:fill="F9F9F9"/>
              <w:ind w:left="42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sz w:val="21"/>
                <w:szCs w:val="21"/>
              </w:rPr>
              <w:t>losely combined with the daily life of College students;</w:t>
            </w:r>
          </w:p>
          <w:p>
            <w:pPr>
              <w:pStyle w:val="15"/>
              <w:shd w:val="clear" w:color="auto" w:fill="F9F9F9"/>
              <w:ind w:left="42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 xml:space="preserve">he students speak and discuss more than half of the proportion of </w:t>
            </w:r>
            <w:r>
              <w:rPr>
                <w:rFonts w:hint="eastAsia"/>
                <w:sz w:val="21"/>
                <w:szCs w:val="21"/>
              </w:rPr>
              <w:t>the class</w:t>
            </w:r>
          </w:p>
          <w:p>
            <w:pPr>
              <w:pStyle w:val="15"/>
              <w:shd w:val="clear" w:color="auto" w:fill="F9F9F9"/>
              <w:ind w:left="420"/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E</w:t>
            </w:r>
            <w:r>
              <w:rPr>
                <w:sz w:val="21"/>
                <w:szCs w:val="21"/>
              </w:rPr>
              <w:t>mphasize the scientific nature (the teacher's conclusions and recommendations based on psychological counseling practice and Research Report)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924" w:type="dxa"/>
            <w:gridSpan w:val="8"/>
            <w:shd w:val="clear" w:color="auto" w:fill="9FD3A4" w:themeFill="background1" w:themeFillShade="D9"/>
            <w:vAlign w:val="center"/>
          </w:tcPr>
          <w:p>
            <w:r>
              <w:rPr>
                <w:rFonts w:hint="eastAsia"/>
              </w:rPr>
              <w:t>课程教学大纲（C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406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学习目标(Learning Outcomes)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pStyle w:val="10"/>
              <w:ind w:left="420" w:firstLine="0" w:firstLineChars="0"/>
              <w:rPr>
                <w:rFonts w:hint="eastAsia"/>
              </w:rPr>
            </w:pP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培养基本的心理分析能力；</w:t>
            </w: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培养从成长心理学的角度规划大学生活和未来职业生涯的能力；</w:t>
            </w: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提高人际交往能力；</w:t>
            </w:r>
          </w:p>
          <w:p>
            <w:pPr>
              <w:pStyle w:val="10"/>
              <w:numPr>
                <w:ilvl w:val="1"/>
                <w:numId w:val="2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提高保持和改善身心健康的能力。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9"/>
              <w:tblW w:w="7269" w:type="dxa"/>
              <w:tblInd w:w="0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6"/>
              <w:gridCol w:w="793"/>
              <w:gridCol w:w="1292"/>
              <w:gridCol w:w="1312"/>
              <w:gridCol w:w="1116"/>
              <w:gridCol w:w="1130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26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793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292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12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16" w:type="dxa"/>
                </w:tcPr>
                <w:p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3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numPr>
                      <w:ilvl w:val="0"/>
                      <w:numId w:val="7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大学期间应做的几件事——基于生涯发展心理学的视角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课堂讨论与现场总结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无作业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到课，积极发言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ind w:left="780" w:firstLine="0"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  <w:highlight w:val="lightGray"/>
                    </w:rPr>
                    <w:t>2、</w:t>
                  </w:r>
                  <w:r>
                    <w:rPr>
                      <w:rFonts w:hint="eastAsia"/>
                    </w:rPr>
                    <w:t>人际交往中的心理现象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t>16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课堂讨论与现场总结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书面作业：人际交往之我见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原创，1000字以上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课程参与情况；作业情况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ind w:left="780" w:firstLine="0"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3、对彼得.德鲁克《个人的管理》一书的阅读与讨论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课下阅读，课堂讨论与总结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书面作业二选一：1、彼得德鲁克时间管理观念述评；2、依据德鲁克的思想对自身进行分析，并据此进行职业生涯进行设计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原创，作业字数1000字以上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课程参与情况；作业情况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1626" w:type="dxa"/>
                  <w:vAlign w:val="center"/>
                </w:tcPr>
                <w:p>
                  <w:pPr>
                    <w:pStyle w:val="10"/>
                    <w:ind w:left="780" w:firstLine="0" w:firstLineChars="0"/>
                    <w:rPr>
                      <w:rFonts w:hint="eastAsia"/>
                    </w:rPr>
                  </w:pPr>
                  <w:r>
                    <w:rPr>
                      <w:highlight w:val="lightGray"/>
                    </w:rPr>
                    <w:t>4</w:t>
                  </w:r>
                  <w:r>
                    <w:rPr>
                      <w:rFonts w:hint="eastAsia"/>
                    </w:rPr>
                    <w:t>身心健康的维持和提高</w:t>
                  </w:r>
                </w:p>
                <w:p>
                  <w:pPr>
                    <w:jc w:val="center"/>
                  </w:pPr>
                </w:p>
              </w:tc>
              <w:tc>
                <w:tcPr>
                  <w:tcW w:w="793" w:type="dxa"/>
                  <w:vAlign w:val="center"/>
                </w:tcPr>
                <w:p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29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课堂讨论与现场总结</w:t>
                  </w:r>
                </w:p>
              </w:tc>
              <w:tc>
                <w:tcPr>
                  <w:tcW w:w="1312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书面作业：评交通和合的身心健康理论</w:t>
                  </w:r>
                </w:p>
              </w:tc>
              <w:tc>
                <w:tcPr>
                  <w:tcW w:w="1116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字数1000字以上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课程参与情况；作业情况</w:t>
                  </w:r>
                </w:p>
              </w:tc>
            </w:tr>
          </w:tbl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 (Grading)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到课率20%、课堂发言积极性与独创性20%、三次作业各20%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1、个人的管理。彼得。德鲁克著，沈国华译。上海财金大学出版社，2003年8月第一版。</w:t>
            </w:r>
          </w:p>
          <w:p>
            <w:pPr>
              <w:jc w:val="left"/>
            </w:pPr>
            <w:r>
              <w:rPr>
                <w:rFonts w:hint="eastAsia"/>
              </w:rPr>
              <w:t>2、心理学与生活。</w:t>
            </w:r>
            <w:r>
              <w:rPr>
                <w:rFonts w:ascii="Arial" w:hAnsi="Arial" w:cs="Arial"/>
                <w:sz w:val="18"/>
                <w:szCs w:val="18"/>
              </w:rPr>
              <w:t>Richard Gerrig / Philip Zimbardo</w:t>
            </w:r>
            <w:r>
              <w:rPr>
                <w:rFonts w:hint="eastAsia" w:ascii="Arial" w:hAnsi="Arial" w:cs="Arial"/>
                <w:sz w:val="18"/>
                <w:szCs w:val="18"/>
              </w:rPr>
              <w:t>著，王垒、王更生译</w:t>
            </w:r>
            <w:r>
              <w:rPr>
                <w:rFonts w:ascii="Arial" w:hAnsi="Arial" w:cs="Arial"/>
                <w:sz w:val="18"/>
                <w:szCs w:val="18"/>
              </w:rPr>
              <w:t>。</w:t>
            </w:r>
            <w:r>
              <w:rPr>
                <w:rFonts w:hint="eastAsia" w:ascii="Arial" w:hAnsi="Arial" w:cs="Arial"/>
                <w:sz w:val="18"/>
                <w:szCs w:val="18"/>
              </w:rPr>
              <w:t>人民邮电出版社，2003年10月。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其它（More）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备注（Notes）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color w:val="00B050"/>
              </w:rPr>
            </w:pPr>
          </w:p>
        </w:tc>
      </w:tr>
    </w:tbl>
    <w:p>
      <w:pPr>
        <w:spacing w:beforeLines="100"/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201</w:t>
    </w:r>
    <w:r>
      <w:rPr>
        <w:rFonts w:hint="eastAsia"/>
        <w:lang w:val="en-US" w:eastAsia="zh-CN"/>
      </w:rPr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464"/>
    <w:multiLevelType w:val="multilevel"/>
    <w:tmpl w:val="0B491464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302C1A"/>
    <w:multiLevelType w:val="multilevel"/>
    <w:tmpl w:val="44302C1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45164F"/>
    <w:multiLevelType w:val="multilevel"/>
    <w:tmpl w:val="5145164F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B260043"/>
    <w:multiLevelType w:val="multilevel"/>
    <w:tmpl w:val="5B260043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1B4715"/>
    <w:multiLevelType w:val="multilevel"/>
    <w:tmpl w:val="671B4715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FF0788"/>
    <w:multiLevelType w:val="multilevel"/>
    <w:tmpl w:val="6EFF0788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77276A6E"/>
    <w:multiLevelType w:val="multilevel"/>
    <w:tmpl w:val="77276A6E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24A3F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161FA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9085F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66977"/>
    <w:rsid w:val="0027360E"/>
    <w:rsid w:val="00276B35"/>
    <w:rsid w:val="0028182B"/>
    <w:rsid w:val="0028463A"/>
    <w:rsid w:val="002A157D"/>
    <w:rsid w:val="002A6549"/>
    <w:rsid w:val="002A7980"/>
    <w:rsid w:val="002B6537"/>
    <w:rsid w:val="002D4CDC"/>
    <w:rsid w:val="003036D4"/>
    <w:rsid w:val="003147F8"/>
    <w:rsid w:val="003237D3"/>
    <w:rsid w:val="00341CDD"/>
    <w:rsid w:val="00366702"/>
    <w:rsid w:val="003672B2"/>
    <w:rsid w:val="003715C0"/>
    <w:rsid w:val="00377008"/>
    <w:rsid w:val="00385E89"/>
    <w:rsid w:val="003948E3"/>
    <w:rsid w:val="00395246"/>
    <w:rsid w:val="0039570D"/>
    <w:rsid w:val="003C4422"/>
    <w:rsid w:val="003D10F5"/>
    <w:rsid w:val="003D2213"/>
    <w:rsid w:val="003E65CC"/>
    <w:rsid w:val="003F5ED6"/>
    <w:rsid w:val="00446816"/>
    <w:rsid w:val="00461685"/>
    <w:rsid w:val="00474457"/>
    <w:rsid w:val="004810CF"/>
    <w:rsid w:val="00487AD7"/>
    <w:rsid w:val="004921CE"/>
    <w:rsid w:val="004C0B2F"/>
    <w:rsid w:val="004D4153"/>
    <w:rsid w:val="004D4785"/>
    <w:rsid w:val="004D62C4"/>
    <w:rsid w:val="004E283B"/>
    <w:rsid w:val="005031D5"/>
    <w:rsid w:val="00511D50"/>
    <w:rsid w:val="00517016"/>
    <w:rsid w:val="00520B0A"/>
    <w:rsid w:val="00556561"/>
    <w:rsid w:val="00557AD3"/>
    <w:rsid w:val="00565461"/>
    <w:rsid w:val="00577467"/>
    <w:rsid w:val="00577ECF"/>
    <w:rsid w:val="005B52BE"/>
    <w:rsid w:val="005F49AB"/>
    <w:rsid w:val="005F7556"/>
    <w:rsid w:val="0061590F"/>
    <w:rsid w:val="00623484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7F2FE6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0C30"/>
    <w:rsid w:val="009521A6"/>
    <w:rsid w:val="00965009"/>
    <w:rsid w:val="009652B5"/>
    <w:rsid w:val="009744FC"/>
    <w:rsid w:val="00983A28"/>
    <w:rsid w:val="009A0D3D"/>
    <w:rsid w:val="009A13D5"/>
    <w:rsid w:val="009A1690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6B68"/>
    <w:rsid w:val="00AD7DBD"/>
    <w:rsid w:val="00AD7E02"/>
    <w:rsid w:val="00AE6C69"/>
    <w:rsid w:val="00B05FFC"/>
    <w:rsid w:val="00B10595"/>
    <w:rsid w:val="00B20254"/>
    <w:rsid w:val="00B328AD"/>
    <w:rsid w:val="00B41900"/>
    <w:rsid w:val="00B4600D"/>
    <w:rsid w:val="00B74383"/>
    <w:rsid w:val="00B970D8"/>
    <w:rsid w:val="00BE022B"/>
    <w:rsid w:val="00C040DE"/>
    <w:rsid w:val="00C23CD5"/>
    <w:rsid w:val="00C30383"/>
    <w:rsid w:val="00C33F9F"/>
    <w:rsid w:val="00C45B94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51E6C"/>
    <w:rsid w:val="00D644B5"/>
    <w:rsid w:val="00D72C73"/>
    <w:rsid w:val="00D73A3C"/>
    <w:rsid w:val="00D85250"/>
    <w:rsid w:val="00D858FF"/>
    <w:rsid w:val="00DA3F46"/>
    <w:rsid w:val="00DB5794"/>
    <w:rsid w:val="00DC7BDC"/>
    <w:rsid w:val="00DF671F"/>
    <w:rsid w:val="00E025AD"/>
    <w:rsid w:val="00E06426"/>
    <w:rsid w:val="00E30BA9"/>
    <w:rsid w:val="00E43921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1739"/>
    <w:rsid w:val="00FE20EB"/>
    <w:rsid w:val="00FE3349"/>
    <w:rsid w:val="00FE4D40"/>
    <w:rsid w:val="00FF22DC"/>
    <w:rsid w:val="0BD37872"/>
    <w:rsid w:val="11BC5AE0"/>
    <w:rsid w:val="25CA33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000FF"/>
      <w:u w:val="none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样式2"/>
    <w:basedOn w:val="1"/>
    <w:qFormat/>
    <w:uiPriority w:val="0"/>
    <w:rPr>
      <w:rFonts w:ascii="宋体" w:hAnsi="宋体" w:eastAsia="宋体" w:cs="Symeteo"/>
      <w:bCs/>
      <w:color w:val="FF0000"/>
      <w:sz w:val="24"/>
      <w:szCs w:val="24"/>
    </w:r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5">
    <w:name w:val="ordinary-output"/>
    <w:basedOn w:val="1"/>
    <w:qFormat/>
    <w:uiPriority w:val="0"/>
    <w:pPr>
      <w:widowControl/>
      <w:spacing w:before="100" w:beforeAutospacing="1" w:after="100" w:afterAutospacing="1" w:line="330" w:lineRule="atLeast"/>
      <w:jc w:val="left"/>
    </w:pPr>
    <w:rPr>
      <w:rFonts w:ascii="宋体" w:hAnsi="宋体" w:eastAsia="宋体" w:cs="宋体"/>
      <w:color w:val="333333"/>
      <w:kern w:val="0"/>
      <w:sz w:val="24"/>
      <w:szCs w:val="24"/>
    </w:rPr>
  </w:style>
  <w:style w:type="character" w:customStyle="1" w:styleId="16">
    <w:name w:val="edited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493</Words>
  <Characters>2814</Characters>
  <Lines>23</Lines>
  <Paragraphs>6</Paragraphs>
  <ScaleCrop>false</ScaleCrop>
  <LinksUpToDate>false</LinksUpToDate>
  <CharactersWithSpaces>3301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2014-07-21T01:35:00Z</dcterms:created>
  <dc:creator>xiqiang yang</dc:creator>
  <cp:lastModifiedBy>user</cp:lastModifiedBy>
  <cp:lastPrinted>2017-11-27T06:36:06Z</cp:lastPrinted>
  <dcterms:modified xsi:type="dcterms:W3CDTF">2017-11-27T06:36:12Z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