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left"/>
        <w:rPr>
          <w:rFonts w:asciiTheme="minorEastAsia" w:hAnsiTheme="minorEastAsia"/>
          <w:szCs w:val="21"/>
        </w:rPr>
      </w:pPr>
      <w:r>
        <w:rPr>
          <w:rFonts w:hint="eastAsia" w:asciiTheme="minorEastAsia" w:hAnsiTheme="minorEastAsia"/>
          <w:szCs w:val="21"/>
        </w:rPr>
        <w:t>附表2</w:t>
      </w:r>
    </w:p>
    <w:p>
      <w:pPr>
        <w:spacing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rFonts w:hint="eastAsia" w:eastAsiaTheme="minorEastAsia"/>
                <w:w w:val="90"/>
                <w:lang w:val="en-US" w:eastAsia="zh-CN"/>
              </w:rPr>
            </w:pPr>
            <w:r>
              <w:rPr>
                <w:rFonts w:hint="eastAsia"/>
                <w:w w:val="90"/>
                <w:lang w:val="en-US" w:eastAsia="zh-CN"/>
              </w:rPr>
              <w:t>BM016</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rPr>
                <w:rFonts w:hint="eastAsia" w:eastAsiaTheme="minorEastAsia"/>
                <w:lang w:val="en-US" w:eastAsia="zh-CN"/>
              </w:rPr>
            </w:pPr>
            <w:r>
              <w:rPr>
                <w:rFonts w:hint="eastAsia"/>
                <w:lang w:val="en-US" w:eastAsia="zh-CN"/>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rFonts w:hint="eastAsia" w:eastAsiaTheme="minorEastAsia"/>
                <w:color w:val="00B050"/>
                <w:lang w:val="en-US" w:eastAsia="zh-CN"/>
              </w:rPr>
            </w:pPr>
            <w:r>
              <w:rPr>
                <w:rFonts w:hint="eastAsia"/>
                <w:color w:val="00B05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ascii="楷体" w:eastAsia="楷体"/>
                <w:sz w:val="24"/>
                <w:lang w:eastAsia="zh-CN"/>
              </w:rPr>
              <w:t>大学生健康教育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ascii="Times New Roman" w:hAnsi="Times New Roman" w:cs="Times New Roman"/>
                <w:color w:val="313131"/>
                <w:sz w:val="21"/>
                <w:szCs w:val="18"/>
                <w:lang w:val="en-US" w:eastAsia="zh-CN"/>
              </w:rPr>
              <w:t>H</w:t>
            </w:r>
            <w:r>
              <w:rPr>
                <w:rFonts w:hint="default" w:ascii="Times New Roman" w:hAnsi="Times New Roman" w:cs="Times New Roman"/>
                <w:color w:val="313131"/>
                <w:sz w:val="21"/>
                <w:szCs w:val="18"/>
                <w:lang w:val="en-US" w:eastAsia="zh-CN"/>
              </w:rPr>
              <w:t>ealth education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rFonts w:hint="eastAsia" w:eastAsiaTheme="minorEastAsia"/>
                <w:color w:val="00B050"/>
                <w:lang w:val="en-US" w:eastAsia="zh-CN"/>
              </w:rPr>
            </w:pPr>
            <w:r>
              <w:rPr>
                <w:rFonts w:hint="eastAsia"/>
                <w:color w:val="00B050"/>
                <w:lang w:val="en-US" w:eastAsia="zh-CN"/>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rPr>
                <w:rFonts w:hint="eastAsia" w:eastAsiaTheme="minorEastAsia"/>
                <w:lang w:eastAsia="zh-CN"/>
              </w:rPr>
            </w:pPr>
            <w:r>
              <w:rPr>
                <w:rFonts w:hint="eastAsia" w:ascii="楷体" w:eastAsia="楷体"/>
                <w:sz w:val="24"/>
                <w:lang w:eastAsia="zh-CN"/>
              </w:rPr>
              <w:t>本科</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rPr>
                <w:rFonts w:hint="eastAsia" w:eastAsiaTheme="minorEastAsia"/>
                <w:lang w:eastAsia="zh-CN"/>
              </w:rPr>
            </w:pPr>
            <w:r>
              <w:rPr>
                <w:rFonts w:hint="eastAsia"/>
                <w:lang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rPr>
                <w:rFonts w:hint="eastAsia" w:eastAsiaTheme="minorEastAsia"/>
                <w:lang w:eastAsia="zh-CN"/>
              </w:rPr>
            </w:pPr>
            <w:r>
              <w:rPr>
                <w:rFonts w:hint="eastAsia"/>
                <w:lang w:eastAsia="zh-CN"/>
              </w:rPr>
              <w:t>校医院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rPr>
                <w:rFonts w:hint="eastAsia" w:eastAsiaTheme="minorEastAsia"/>
                <w:lang w:eastAsia="zh-CN"/>
              </w:rPr>
            </w:pPr>
            <w:r>
              <w:rPr>
                <w:rFonts w:hint="eastAsia"/>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rPr>
                <w:rFonts w:hint="eastAsia" w:eastAsiaTheme="minorEastAsia"/>
                <w:lang w:eastAsia="zh-CN"/>
              </w:rPr>
            </w:pPr>
            <w:r>
              <w:rPr>
                <w:rFonts w:hint="eastAsia" w:ascii="楷体" w:eastAsia="楷体"/>
                <w:sz w:val="24"/>
                <w:lang w:eastAsia="zh-CN"/>
              </w:rPr>
              <w:t>刘金生、黄晓兰、林志华、陈冬兰</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rFonts w:hint="eastAsia" w:eastAsiaTheme="minorEastAsia"/>
                <w:color w:val="00B050"/>
                <w:lang w:eastAsia="zh-CN"/>
              </w:rPr>
            </w:pPr>
            <w:r>
              <w:rPr>
                <w:rFonts w:hint="eastAsia"/>
                <w:color w:val="00B05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r>
              <w:rPr>
                <w:rFonts w:hint="eastAsia"/>
                <w:lang w:eastAsia="zh-CN"/>
              </w:rPr>
              <w:t>普及医学科学知识是健康教育的重要任务。大学生健康教育课通过《心理健康》、《急救与自救教育》、《常见疾病常识教育》、《性传播疾病教育》、《生活方式与健康》、《环境与健康》、《健康之道》。等七章内容向同学介绍有关医学生理、病理知识及疾病的诊断、治疗知识。增加同学们预防疾病、诊断疾病、处置疾病的能力。通过学习现场急救与自救理论知识及现场模拟演示、操作，使同学们掌握具体救治方法，并能应用。大学生关注的社会制度、文化习俗、时代潮流、社会环境和人际关系都会影响同学们的思想变化和心理变化。同学们需要学习了解心理健康常识，并能够自我调节、疏导，通过有效的心理按摩使之心理正常愉悦；增强心理素质，接受社会、经济的迅速发展，文明和科技的进步给同学们带来的体力、心理、能力等方面的考验。学习、了解常见疾病常识，尤其是青年人需要注意预防的慢性疾病预防、识别及如何处置，满足同学们对健康的需求，确立健康的自我意识、增强自我监测、自我处理、自我预防的能力。促使同学们更积极、主动地参与健康活动。提高健康素质，开心生活每一天，健康工作五十年，幸福生活一辈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ind w:firstLine="180" w:firstLineChars="75"/>
              <w:rPr>
                <w:rFonts w:hint="eastAsia" w:eastAsiaTheme="minorEastAsia"/>
                <w:lang w:eastAsia="zh-CN"/>
              </w:rPr>
            </w:pPr>
            <w:r>
              <w:rPr>
                <w:rFonts w:hint="default" w:ascii="Times New Roman" w:hAnsi="Times New Roman" w:cs="Times New Roman"/>
                <w:color w:val="313131"/>
                <w:sz w:val="21"/>
                <w:szCs w:val="18"/>
                <w:lang w:val="en-US" w:eastAsia="zh-CN"/>
              </w:rPr>
              <w:t>Universal access of medical and scientific knowledge is an important task of health education. Through the seven chapters:"</w:t>
            </w:r>
            <w:r>
              <w:rPr>
                <w:rFonts w:hint="default" w:ascii="Times New Roman" w:hAnsi="Times New Roman" w:cs="Times New Roman"/>
                <w:i/>
                <w:iCs/>
                <w:color w:val="313131"/>
                <w:sz w:val="21"/>
                <w:szCs w:val="18"/>
                <w:lang w:val="en-US" w:eastAsia="zh-CN"/>
              </w:rPr>
              <w:t>mental health</w:t>
            </w:r>
            <w:r>
              <w:rPr>
                <w:rFonts w:hint="default" w:ascii="Times New Roman" w:hAnsi="Times New Roman" w:cs="Times New Roman"/>
                <w:color w:val="313131"/>
                <w:sz w:val="21"/>
                <w:szCs w:val="18"/>
                <w:lang w:val="en-US" w:eastAsia="zh-CN"/>
              </w:rPr>
              <w:t>","</w:t>
            </w:r>
            <w:r>
              <w:rPr>
                <w:rFonts w:hint="default" w:ascii="Times New Roman" w:hAnsi="Times New Roman" w:cs="Times New Roman"/>
                <w:i/>
                <w:iCs/>
                <w:color w:val="313131"/>
                <w:sz w:val="21"/>
                <w:szCs w:val="18"/>
                <w:lang w:val="en-US" w:eastAsia="zh-CN"/>
              </w:rPr>
              <w:t>first aid and self-help education","common diseases,common sense education","sexually transmitted diseases education","lifestyle and health","environment and health","healthy way</w:t>
            </w:r>
            <w:r>
              <w:rPr>
                <w:rFonts w:hint="default" w:ascii="Times New Roman" w:hAnsi="Times New Roman" w:cs="Times New Roman"/>
                <w:color w:val="313131"/>
                <w:sz w:val="21"/>
                <w:szCs w:val="18"/>
                <w:lang w:val="en-US" w:eastAsia="zh-CN"/>
              </w:rPr>
              <w:t xml:space="preserve">",health education class can introduce students to the knowledge of medical physiology,Pathology education and diseases diagnosis,treatment.At the same time it will increase the ability of students to prevent disease,diagnose disease and dispose of the disease.By learning the knowledge of first aid and self-help theory and field simulation demonstration, operation, so that the students understand the specific treatment methods, and applications.Students concern about social systems, cultural practices, the trend of the times, the social environment and interpersonal relationships，which will affect the students thinking changes and psychological changes of the students </w:t>
            </w:r>
            <w:r>
              <w:rPr>
                <w:rFonts w:hint="default" w:ascii="Times New Roman" w:hAnsi="Times New Roman" w:eastAsia="楷体" w:cs="Times New Roman"/>
                <w:sz w:val="21"/>
                <w:lang w:val="en-US" w:eastAsia="zh-CN"/>
              </w:rPr>
              <w:t>.</w:t>
            </w:r>
            <w:r>
              <w:rPr>
                <w:rFonts w:hint="default" w:ascii="Times New Roman" w:hAnsi="Times New Roman" w:cs="Times New Roman"/>
                <w:color w:val="313131"/>
                <w:sz w:val="21"/>
                <w:szCs w:val="18"/>
              </w:rPr>
              <w:t>Students need to learn the common sense of psychological health, in order to conduct self regulation, directing, and through effective psychological massage to make their psychology normal and cheerful; Enhance psychological quality, accept social, economic’s rapid development, civilization and the progress of science and technology bring the test of the ability of physical and psychological and, etc to the students,. Stud</w:t>
            </w:r>
            <w:r>
              <w:rPr>
                <w:rFonts w:hint="default" w:ascii="Times New Roman" w:hAnsi="Times New Roman" w:cs="Times New Roman"/>
                <w:color w:val="313131"/>
                <w:sz w:val="21"/>
                <w:szCs w:val="18"/>
                <w:lang w:val="en-US" w:eastAsia="zh-CN"/>
              </w:rPr>
              <w:t>y</w:t>
            </w:r>
            <w:r>
              <w:rPr>
                <w:rFonts w:hint="default" w:ascii="Times New Roman" w:hAnsi="Times New Roman" w:cs="Times New Roman"/>
                <w:color w:val="313131"/>
                <w:sz w:val="21"/>
                <w:szCs w:val="18"/>
              </w:rPr>
              <w:t>ing, understanding the common sense of common disease, especially for young people need to pay attention to the prevention of chronic disease prevention, identification and what to do with, to meet the needs of the students on health, to establish healthy consciousness, enhance self monitoring, self treatment, ability of self prevention. Make students more positive, actively participate in the healthy activity. To improve the health quality, happy life every day, fifty years’ health work , happy life for a lifetime.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pPr>
              <w:numPr>
                <w:ilvl w:val="0"/>
                <w:numId w:val="1"/>
              </w:numPr>
              <w:rPr>
                <w:rFonts w:hint="eastAsia"/>
              </w:rPr>
            </w:pPr>
            <w:r>
              <w:rPr>
                <w:rFonts w:hint="eastAsia"/>
              </w:rPr>
              <w:t>了解和建立完整意义的现代健康概念，树立健康生活目标。</w:t>
            </w:r>
            <w:r>
              <w:rPr>
                <w:rFonts w:hint="eastAsia"/>
                <w:lang w:eastAsia="zh-CN"/>
              </w:rPr>
              <w:t>；</w:t>
            </w:r>
          </w:p>
          <w:p>
            <w:pPr>
              <w:numPr>
                <w:ilvl w:val="0"/>
                <w:numId w:val="1"/>
              </w:numPr>
              <w:rPr>
                <w:rFonts w:hint="eastAsia"/>
                <w:lang w:val="en-US" w:eastAsia="zh-CN"/>
              </w:rPr>
            </w:pPr>
            <w:r>
              <w:rPr>
                <w:rFonts w:hint="eastAsia"/>
              </w:rPr>
              <w:t>了解大学生心理特点，提高心理、情绪和对环境的自我调适的意识和能力，增进良好人际交流、增强心理素质。重点掌握自我测评方法和评估</w:t>
            </w:r>
            <w:r>
              <w:rPr>
                <w:rFonts w:hint="eastAsia"/>
                <w:lang w:eastAsia="zh-CN"/>
              </w:rPr>
              <w:t>；</w:t>
            </w:r>
          </w:p>
          <w:p>
            <w:pPr>
              <w:numPr>
                <w:ilvl w:val="0"/>
                <w:numId w:val="1"/>
              </w:numPr>
              <w:rPr>
                <w:rFonts w:hint="eastAsia"/>
                <w:lang w:val="en-US" w:eastAsia="zh-CN"/>
              </w:rPr>
            </w:pPr>
            <w:r>
              <w:rPr>
                <w:rFonts w:hint="eastAsia"/>
              </w:rPr>
              <w:t>掌握心肺复苏的基本方法和常见急症的院前自救原则</w:t>
            </w:r>
            <w:r>
              <w:rPr>
                <w:rFonts w:hint="eastAsia"/>
                <w:lang w:eastAsia="zh-CN"/>
              </w:rPr>
              <w:t>；</w:t>
            </w:r>
          </w:p>
          <w:p>
            <w:pPr>
              <w:numPr>
                <w:ilvl w:val="0"/>
                <w:numId w:val="1"/>
              </w:numPr>
              <w:rPr>
                <w:rFonts w:hint="eastAsia"/>
                <w:lang w:val="en-US" w:eastAsia="zh-CN"/>
              </w:rPr>
            </w:pPr>
            <w:r>
              <w:rPr>
                <w:rFonts w:hint="eastAsia"/>
              </w:rPr>
              <w:t>了解生活方式与健康的相关科学常识，了解生活方式病的形成及防治，促进人们选择健康的生活方式，实现健康地生活、科学地生活</w:t>
            </w:r>
            <w:r>
              <w:rPr>
                <w:rFonts w:hint="eastAsia"/>
                <w:lang w:eastAsia="zh-CN"/>
              </w:rPr>
              <w:t>；</w:t>
            </w:r>
          </w:p>
          <w:p>
            <w:pPr>
              <w:numPr>
                <w:ilvl w:val="0"/>
                <w:numId w:val="1"/>
              </w:numPr>
              <w:spacing w:line="360" w:lineRule="auto"/>
              <w:rPr>
                <w:rFonts w:hint="eastAsia"/>
                <w:lang w:eastAsia="zh-CN"/>
              </w:rPr>
            </w:pPr>
            <w:r>
              <w:rPr>
                <w:rFonts w:hint="eastAsia"/>
              </w:rPr>
              <w:t>了解性传染病的危害及其防治</w:t>
            </w:r>
            <w:r>
              <w:rPr>
                <w:rFonts w:hint="eastAsia"/>
                <w:lang w:eastAsia="zh-CN"/>
              </w:rPr>
              <w:t>；</w:t>
            </w:r>
          </w:p>
          <w:p>
            <w:pPr>
              <w:tabs>
                <w:tab w:val="left" w:pos="3420"/>
              </w:tabs>
              <w:spacing w:line="360" w:lineRule="auto"/>
              <w:rPr>
                <w:rFonts w:hint="eastAsia"/>
                <w:lang w:val="en-US" w:eastAsia="zh-CN"/>
              </w:rPr>
            </w:pPr>
            <w:r>
              <w:rPr>
                <w:rFonts w:hint="eastAsia"/>
                <w:lang w:val="en-US" w:eastAsia="zh-CN"/>
              </w:rPr>
              <w:t>6、</w:t>
            </w:r>
            <w:r>
              <w:rPr>
                <w:rFonts w:hint="eastAsia"/>
              </w:rPr>
              <w:t>了解常见病症的识别、处置原则以及自我防治措施。增长保健知识，配合诊治，合理用药，增进健康。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textDirection w:val="lrTb"/>
                  <w:vAlign w:val="top"/>
                </w:tcPr>
                <w:p>
                  <w:pPr>
                    <w:spacing w:line="360" w:lineRule="auto"/>
                  </w:pPr>
                  <w:r>
                    <w:rPr>
                      <w:rFonts w:hint="eastAsia"/>
                    </w:rPr>
                    <w:t>健康之道</w:t>
                  </w:r>
                </w:p>
              </w:tc>
              <w:tc>
                <w:tcPr>
                  <w:tcW w:w="816" w:type="dxa"/>
                  <w:textDirection w:val="lrTb"/>
                  <w:vAlign w:val="top"/>
                </w:tcPr>
                <w:p>
                  <w:pPr>
                    <w:spacing w:line="360" w:lineRule="auto"/>
                    <w:jc w:val="center"/>
                  </w:pPr>
                  <w:r>
                    <w:rPr>
                      <w:rFonts w:hint="eastAsia"/>
                    </w:rPr>
                    <w:t>2</w:t>
                  </w:r>
                </w:p>
              </w:tc>
              <w:tc>
                <w:tcPr>
                  <w:tcW w:w="1334" w:type="dxa"/>
                  <w:textDirection w:val="lrTb"/>
                  <w:vAlign w:val="top"/>
                </w:tcPr>
                <w:p>
                  <w:pPr>
                    <w:spacing w:line="360" w:lineRule="auto"/>
                    <w:jc w:val="center"/>
                    <w:rPr>
                      <w:rFonts w:hint="eastAsia" w:eastAsiaTheme="minorEastAsia"/>
                      <w:lang w:eastAsia="zh-CN"/>
                    </w:rPr>
                  </w:pPr>
                  <w:r>
                    <w:rPr>
                      <w:rFonts w:hint="eastAsia"/>
                      <w:lang w:eastAsia="zh-CN"/>
                    </w:rPr>
                    <w:t>课堂授课</w:t>
                  </w:r>
                </w:p>
              </w:tc>
              <w:tc>
                <w:tcPr>
                  <w:tcW w:w="1355" w:type="dxa"/>
                  <w:vAlign w:val="center"/>
                </w:tcPr>
                <w:p>
                  <w:pPr>
                    <w:jc w:val="center"/>
                    <w:rPr>
                      <w:rFonts w:hint="eastAsia" w:eastAsiaTheme="minorEastAsia"/>
                      <w:lang w:eastAsia="zh-CN"/>
                    </w:rPr>
                  </w:pPr>
                  <w:r>
                    <w:rPr>
                      <w:rFonts w:hint="eastAsia"/>
                      <w:lang w:eastAsia="zh-CN"/>
                    </w:rPr>
                    <w:t>课下复习</w:t>
                  </w:r>
                </w:p>
              </w:tc>
              <w:tc>
                <w:tcPr>
                  <w:tcW w:w="1146" w:type="dxa"/>
                  <w:vAlign w:val="center"/>
                </w:tcPr>
                <w:p>
                  <w:pPr>
                    <w:jc w:val="center"/>
                    <w:rPr>
                      <w:rFonts w:hint="eastAsia" w:eastAsiaTheme="minorEastAsia"/>
                      <w:lang w:eastAsia="zh-CN"/>
                    </w:rPr>
                  </w:pPr>
                  <w:r>
                    <w:rPr>
                      <w:rFonts w:hint="eastAsia"/>
                      <w:lang w:eastAsia="zh-CN"/>
                    </w:rPr>
                    <w:t>掌握相关内容</w:t>
                  </w:r>
                </w:p>
              </w:tc>
              <w:tc>
                <w:tcPr>
                  <w:tcW w:w="1162" w:type="dxa"/>
                  <w:vAlign w:val="center"/>
                </w:tcPr>
                <w:p>
                  <w:pPr>
                    <w:jc w:val="center"/>
                    <w:rPr>
                      <w:rFonts w:hint="eastAsia" w:eastAsiaTheme="minorEastAsia"/>
                      <w:lang w:eastAsia="zh-CN"/>
                    </w:rP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textDirection w:val="lrTb"/>
                  <w:vAlign w:val="top"/>
                </w:tcPr>
                <w:p>
                  <w:pPr>
                    <w:spacing w:line="360" w:lineRule="auto"/>
                  </w:pPr>
                  <w:r>
                    <w:rPr>
                      <w:rFonts w:hint="eastAsia"/>
                    </w:rPr>
                    <w:t>心理与健康</w:t>
                  </w:r>
                </w:p>
              </w:tc>
              <w:tc>
                <w:tcPr>
                  <w:tcW w:w="816" w:type="dxa"/>
                  <w:textDirection w:val="lrTb"/>
                  <w:vAlign w:val="top"/>
                </w:tcPr>
                <w:p>
                  <w:pPr>
                    <w:spacing w:line="360" w:lineRule="auto"/>
                    <w:jc w:val="center"/>
                  </w:pPr>
                  <w:r>
                    <w:rPr>
                      <w:rFonts w:hint="eastAsia"/>
                    </w:rPr>
                    <w:t>4</w:t>
                  </w:r>
                </w:p>
              </w:tc>
              <w:tc>
                <w:tcPr>
                  <w:tcW w:w="1334" w:type="dxa"/>
                  <w:vAlign w:val="center"/>
                </w:tcPr>
                <w:p>
                  <w:pPr>
                    <w:jc w:val="center"/>
                    <w:rPr>
                      <w:rFonts w:hint="eastAsia" w:eastAsiaTheme="minorEastAsia"/>
                      <w:lang w:eastAsia="zh-CN"/>
                    </w:rPr>
                  </w:pPr>
                  <w:r>
                    <w:rPr>
                      <w:rFonts w:hint="eastAsia"/>
                      <w:lang w:eastAsia="zh-CN"/>
                    </w:rPr>
                    <w:t>课堂授课</w:t>
                  </w:r>
                </w:p>
              </w:tc>
              <w:tc>
                <w:tcPr>
                  <w:tcW w:w="1355" w:type="dxa"/>
                  <w:vAlign w:val="center"/>
                </w:tcPr>
                <w:p>
                  <w:pPr>
                    <w:jc w:val="center"/>
                    <w:rPr>
                      <w:rFonts w:hint="eastAsia" w:eastAsiaTheme="minorEastAsia"/>
                      <w:lang w:eastAsia="zh-CN"/>
                    </w:rPr>
                  </w:pPr>
                  <w:r>
                    <w:rPr>
                      <w:rFonts w:hint="eastAsia"/>
                      <w:lang w:eastAsia="zh-CN"/>
                    </w:rPr>
                    <w:t>课下复习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textDirection w:val="lrTb"/>
                  <w:vAlign w:val="top"/>
                </w:tcPr>
                <w:p>
                  <w:pPr>
                    <w:spacing w:line="360" w:lineRule="auto"/>
                  </w:pPr>
                  <w:r>
                    <w:rPr>
                      <w:rFonts w:hint="eastAsia"/>
                    </w:rPr>
                    <w:t>急救与自救</w:t>
                  </w:r>
                </w:p>
              </w:tc>
              <w:tc>
                <w:tcPr>
                  <w:tcW w:w="816" w:type="dxa"/>
                  <w:textDirection w:val="lrTb"/>
                  <w:vAlign w:val="top"/>
                </w:tcPr>
                <w:p>
                  <w:pPr>
                    <w:spacing w:line="360" w:lineRule="auto"/>
                    <w:jc w:val="center"/>
                  </w:pPr>
                  <w:r>
                    <w:rPr>
                      <w:rFonts w:hint="eastAsia"/>
                      <w:lang w:val="en-US" w:eastAsia="zh-CN"/>
                    </w:rPr>
                    <w:t>8</w:t>
                  </w:r>
                </w:p>
              </w:tc>
              <w:tc>
                <w:tcPr>
                  <w:tcW w:w="1334" w:type="dxa"/>
                  <w:vAlign w:val="center"/>
                </w:tcPr>
                <w:p>
                  <w:pPr>
                    <w:jc w:val="center"/>
                  </w:pPr>
                  <w:r>
                    <w:rPr>
                      <w:rFonts w:hint="eastAsia"/>
                      <w:lang w:eastAsia="zh-CN"/>
                    </w:rPr>
                    <w:t>现场模拟操作</w:t>
                  </w:r>
                </w:p>
              </w:tc>
              <w:tc>
                <w:tcPr>
                  <w:tcW w:w="1355" w:type="dxa"/>
                  <w:vAlign w:val="center"/>
                </w:tcPr>
                <w:p>
                  <w:pPr>
                    <w:jc w:val="center"/>
                  </w:pPr>
                  <w:r>
                    <w:rPr>
                      <w:rFonts w:hint="eastAsia"/>
                      <w:lang w:eastAsia="zh-CN"/>
                    </w:rPr>
                    <w:t>课下练习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textDirection w:val="lrTb"/>
                  <w:vAlign w:val="top"/>
                </w:tcPr>
                <w:p>
                  <w:pPr>
                    <w:spacing w:line="360" w:lineRule="auto"/>
                  </w:pPr>
                  <w:r>
                    <w:rPr>
                      <w:rFonts w:hint="eastAsia"/>
                    </w:rPr>
                    <w:t>生活方式与健康</w:t>
                  </w:r>
                </w:p>
              </w:tc>
              <w:tc>
                <w:tcPr>
                  <w:tcW w:w="816" w:type="dxa"/>
                  <w:textDirection w:val="lrTb"/>
                  <w:vAlign w:val="top"/>
                </w:tcPr>
                <w:p>
                  <w:pPr>
                    <w:spacing w:line="360" w:lineRule="auto"/>
                    <w:jc w:val="center"/>
                  </w:pPr>
                  <w:r>
                    <w:rPr>
                      <w:rFonts w:hint="eastAsia"/>
                      <w:lang w:val="en-US" w:eastAsia="zh-CN"/>
                    </w:rPr>
                    <w:t>2</w:t>
                  </w:r>
                </w:p>
              </w:tc>
              <w:tc>
                <w:tcPr>
                  <w:tcW w:w="1334" w:type="dxa"/>
                  <w:vAlign w:val="center"/>
                </w:tcPr>
                <w:p>
                  <w:pPr>
                    <w:jc w:val="center"/>
                  </w:pPr>
                  <w:r>
                    <w:rPr>
                      <w:rFonts w:hint="eastAsia"/>
                      <w:lang w:eastAsia="zh-CN"/>
                    </w:rPr>
                    <w:t>课堂授课</w:t>
                  </w:r>
                </w:p>
              </w:tc>
              <w:tc>
                <w:tcPr>
                  <w:tcW w:w="1355" w:type="dxa"/>
                  <w:vAlign w:val="center"/>
                </w:tcPr>
                <w:p>
                  <w:pPr>
                    <w:jc w:val="center"/>
                  </w:pPr>
                  <w:r>
                    <w:rPr>
                      <w:rFonts w:hint="eastAsia"/>
                      <w:lang w:eastAsia="zh-CN"/>
                    </w:rPr>
                    <w:t>课下复习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textDirection w:val="lrTb"/>
                  <w:vAlign w:val="top"/>
                </w:tcPr>
                <w:p>
                  <w:pPr>
                    <w:spacing w:line="360" w:lineRule="auto"/>
                  </w:pPr>
                  <w:r>
                    <w:rPr>
                      <w:rFonts w:hint="eastAsia"/>
                    </w:rPr>
                    <w:t>传染病及其防治原则</w:t>
                  </w:r>
                </w:p>
              </w:tc>
              <w:tc>
                <w:tcPr>
                  <w:tcW w:w="816" w:type="dxa"/>
                  <w:textDirection w:val="lrTb"/>
                  <w:vAlign w:val="top"/>
                </w:tcPr>
                <w:p>
                  <w:pPr>
                    <w:spacing w:line="360" w:lineRule="auto"/>
                    <w:jc w:val="center"/>
                  </w:pPr>
                  <w:r>
                    <w:rPr>
                      <w:rFonts w:hint="eastAsia"/>
                    </w:rPr>
                    <w:t>4</w:t>
                  </w:r>
                </w:p>
              </w:tc>
              <w:tc>
                <w:tcPr>
                  <w:tcW w:w="1334" w:type="dxa"/>
                  <w:vAlign w:val="center"/>
                </w:tcPr>
                <w:p>
                  <w:pPr>
                    <w:jc w:val="center"/>
                  </w:pPr>
                  <w:r>
                    <w:rPr>
                      <w:rFonts w:hint="eastAsia"/>
                      <w:lang w:eastAsia="zh-CN"/>
                    </w:rPr>
                    <w:t>课堂授课</w:t>
                  </w:r>
                </w:p>
              </w:tc>
              <w:tc>
                <w:tcPr>
                  <w:tcW w:w="1355" w:type="dxa"/>
                  <w:vAlign w:val="center"/>
                </w:tcPr>
                <w:p>
                  <w:pPr>
                    <w:jc w:val="center"/>
                  </w:pPr>
                  <w:r>
                    <w:rPr>
                      <w:rFonts w:hint="eastAsia"/>
                      <w:lang w:eastAsia="zh-CN"/>
                    </w:rPr>
                    <w:t>课下复习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textDirection w:val="lrTb"/>
                  <w:vAlign w:val="top"/>
                </w:tcPr>
                <w:p>
                  <w:pPr>
                    <w:spacing w:line="360" w:lineRule="auto"/>
                  </w:pPr>
                  <w:r>
                    <w:rPr>
                      <w:rFonts w:hint="eastAsia"/>
                    </w:rPr>
                    <w:t>认识性传播疾病</w:t>
                  </w:r>
                </w:p>
              </w:tc>
              <w:tc>
                <w:tcPr>
                  <w:tcW w:w="816" w:type="dxa"/>
                  <w:textDirection w:val="lrTb"/>
                  <w:vAlign w:val="top"/>
                </w:tcPr>
                <w:p>
                  <w:pPr>
                    <w:spacing w:line="360" w:lineRule="auto"/>
                    <w:jc w:val="center"/>
                  </w:pPr>
                  <w:r>
                    <w:rPr>
                      <w:rFonts w:hint="eastAsia"/>
                    </w:rPr>
                    <w:t>6</w:t>
                  </w:r>
                </w:p>
              </w:tc>
              <w:tc>
                <w:tcPr>
                  <w:tcW w:w="1334" w:type="dxa"/>
                  <w:vAlign w:val="center"/>
                </w:tcPr>
                <w:p>
                  <w:pPr>
                    <w:jc w:val="center"/>
                  </w:pPr>
                  <w:r>
                    <w:rPr>
                      <w:rFonts w:hint="eastAsia"/>
                      <w:lang w:eastAsia="zh-CN"/>
                    </w:rPr>
                    <w:t>课堂授课</w:t>
                  </w:r>
                </w:p>
              </w:tc>
              <w:tc>
                <w:tcPr>
                  <w:tcW w:w="1355" w:type="dxa"/>
                  <w:vAlign w:val="center"/>
                </w:tcPr>
                <w:p>
                  <w:pPr>
                    <w:jc w:val="center"/>
                  </w:pPr>
                  <w:r>
                    <w:rPr>
                      <w:rFonts w:hint="eastAsia"/>
                      <w:lang w:eastAsia="zh-CN"/>
                    </w:rPr>
                    <w:t>课下复习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textDirection w:val="lrTb"/>
                  <w:vAlign w:val="top"/>
                </w:tcPr>
                <w:p>
                  <w:pPr>
                    <w:spacing w:line="360" w:lineRule="auto"/>
                  </w:pPr>
                  <w:r>
                    <w:rPr>
                      <w:rFonts w:hint="eastAsia"/>
                    </w:rPr>
                    <w:t>常见疾病诊治</w:t>
                  </w:r>
                </w:p>
              </w:tc>
              <w:tc>
                <w:tcPr>
                  <w:tcW w:w="816" w:type="dxa"/>
                  <w:textDirection w:val="lrTb"/>
                  <w:vAlign w:val="top"/>
                </w:tcPr>
                <w:p>
                  <w:pPr>
                    <w:spacing w:line="360" w:lineRule="auto"/>
                    <w:jc w:val="center"/>
                  </w:pPr>
                  <w:r>
                    <w:rPr>
                      <w:rFonts w:hint="eastAsia"/>
                    </w:rPr>
                    <w:t>6</w:t>
                  </w:r>
                </w:p>
              </w:tc>
              <w:tc>
                <w:tcPr>
                  <w:tcW w:w="1334" w:type="dxa"/>
                  <w:vAlign w:val="center"/>
                </w:tcPr>
                <w:p>
                  <w:pPr>
                    <w:jc w:val="center"/>
                  </w:pPr>
                  <w:r>
                    <w:rPr>
                      <w:rFonts w:hint="eastAsia"/>
                      <w:lang w:eastAsia="zh-CN"/>
                    </w:rPr>
                    <w:t>课堂授课</w:t>
                  </w:r>
                </w:p>
              </w:tc>
              <w:tc>
                <w:tcPr>
                  <w:tcW w:w="1355" w:type="dxa"/>
                  <w:vAlign w:val="center"/>
                </w:tcPr>
                <w:p>
                  <w:pPr>
                    <w:jc w:val="center"/>
                  </w:pPr>
                  <w:r>
                    <w:rPr>
                      <w:rFonts w:hint="eastAsia"/>
                      <w:lang w:eastAsia="zh-CN"/>
                    </w:rPr>
                    <w:t>课下复习</w:t>
                  </w:r>
                </w:p>
              </w:tc>
              <w:tc>
                <w:tcPr>
                  <w:tcW w:w="1146" w:type="dxa"/>
                  <w:textDirection w:val="lrTb"/>
                  <w:vAlign w:val="center"/>
                </w:tcPr>
                <w:p>
                  <w:pPr>
                    <w:jc w:val="center"/>
                  </w:pPr>
                  <w:r>
                    <w:rPr>
                      <w:rFonts w:hint="eastAsia"/>
                      <w:lang w:eastAsia="zh-CN"/>
                    </w:rPr>
                    <w:t>掌握相关内容</w:t>
                  </w:r>
                </w:p>
              </w:tc>
              <w:tc>
                <w:tcPr>
                  <w:tcW w:w="1162" w:type="dxa"/>
                  <w:textDirection w:val="lrTb"/>
                  <w:vAlign w:val="center"/>
                </w:tcPr>
                <w:p>
                  <w:pPr>
                    <w:jc w:val="center"/>
                  </w:pPr>
                  <w:r>
                    <w:rPr>
                      <w:rFonts w:hint="eastAsia"/>
                      <w:lang w:eastAsia="zh-CN"/>
                    </w:rPr>
                    <w:t>课堂小测</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rPr>
                <w:rFonts w:hint="eastAsia" w:eastAsiaTheme="minorEastAsia"/>
                <w:lang w:eastAsia="zh-CN"/>
              </w:rPr>
            </w:pPr>
            <w:r>
              <w:rPr>
                <w:rFonts w:hint="eastAsia"/>
                <w:lang w:eastAsia="zh-CN"/>
              </w:rPr>
              <w:t>开卷考试（课堂小测</w:t>
            </w:r>
            <w:r>
              <w:rPr>
                <w:rFonts w:hint="eastAsia"/>
                <w:lang w:val="en-US" w:eastAsia="zh-CN"/>
              </w:rPr>
              <w:t>30%+作业20%+期末开卷考试50%</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widowControl/>
              <w:snapToGrid w:val="0"/>
              <w:spacing w:line="360" w:lineRule="auto"/>
              <w:ind w:firstLine="480" w:firstLineChars="200"/>
              <w:outlineLvl w:val="0"/>
              <w:rPr>
                <w:rFonts w:hint="eastAsia" w:ascii="楷体_GB2312" w:hAnsi="宋体" w:eastAsia="楷体_GB2312" w:cs="宋体"/>
                <w:sz w:val="24"/>
                <w:lang w:eastAsia="zh-CN"/>
              </w:rPr>
            </w:pPr>
            <w:r>
              <w:rPr>
                <w:rFonts w:hint="eastAsia" w:ascii="楷体_GB2312" w:hAnsi="宋体" w:eastAsia="楷体_GB2312" w:cs="宋体"/>
                <w:sz w:val="24"/>
              </w:rPr>
              <w:t>教材名称</w:t>
            </w:r>
            <w:r>
              <w:rPr>
                <w:rFonts w:hint="eastAsia" w:ascii="楷体_GB2312" w:hAnsi="宋体" w:eastAsia="楷体_GB2312" w:cs="宋体"/>
                <w:sz w:val="24"/>
                <w:lang w:eastAsia="zh-CN"/>
              </w:rPr>
              <w:t>：《当代大学生健康教育教程》；</w:t>
            </w:r>
          </w:p>
          <w:p>
            <w:pPr>
              <w:widowControl/>
              <w:snapToGrid w:val="0"/>
              <w:spacing w:line="360" w:lineRule="auto"/>
              <w:ind w:firstLine="480" w:firstLineChars="200"/>
              <w:outlineLvl w:val="0"/>
              <w:rPr>
                <w:rFonts w:hint="eastAsia" w:ascii="楷体_GB2312" w:hAnsi="宋体" w:eastAsia="楷体_GB2312" w:cs="宋体"/>
                <w:sz w:val="24"/>
                <w:lang w:eastAsia="zh-CN"/>
              </w:rPr>
            </w:pPr>
            <w:r>
              <w:rPr>
                <w:rFonts w:hint="eastAsia" w:ascii="楷体_GB2312" w:hAnsi="宋体" w:eastAsia="楷体_GB2312" w:cs="宋体"/>
                <w:sz w:val="24"/>
              </w:rPr>
              <w:t>作者</w:t>
            </w:r>
            <w:r>
              <w:rPr>
                <w:rFonts w:hint="eastAsia" w:ascii="楷体_GB2312" w:hAnsi="宋体" w:eastAsia="楷体_GB2312" w:cs="宋体"/>
                <w:sz w:val="24"/>
                <w:lang w:eastAsia="zh-CN"/>
              </w:rPr>
              <w:t>：梁维君；</w:t>
            </w:r>
          </w:p>
          <w:p>
            <w:pPr>
              <w:widowControl/>
              <w:snapToGrid w:val="0"/>
              <w:spacing w:line="360" w:lineRule="auto"/>
              <w:ind w:firstLine="480" w:firstLineChars="200"/>
              <w:outlineLvl w:val="0"/>
              <w:rPr>
                <w:rFonts w:hint="eastAsia" w:ascii="楷体_GB2312" w:hAnsi="宋体" w:eastAsia="楷体_GB2312" w:cs="宋体"/>
                <w:sz w:val="24"/>
                <w:lang w:eastAsia="zh-CN"/>
              </w:rPr>
            </w:pPr>
            <w:r>
              <w:rPr>
                <w:rFonts w:hint="eastAsia" w:ascii="楷体_GB2312" w:hAnsi="宋体" w:eastAsia="楷体_GB2312" w:cs="宋体"/>
                <w:sz w:val="24"/>
              </w:rPr>
              <w:t>出版社</w:t>
            </w:r>
            <w:r>
              <w:rPr>
                <w:rFonts w:hint="eastAsia" w:ascii="楷体_GB2312" w:hAnsi="宋体" w:eastAsia="楷体_GB2312" w:cs="宋体"/>
                <w:sz w:val="24"/>
                <w:lang w:eastAsia="zh-CN"/>
              </w:rPr>
              <w:t>：湖南师范大学出版社；</w:t>
            </w:r>
          </w:p>
          <w:p>
            <w:pPr>
              <w:widowControl/>
              <w:snapToGrid w:val="0"/>
              <w:spacing w:line="360" w:lineRule="auto"/>
              <w:ind w:firstLine="480" w:firstLineChars="200"/>
              <w:outlineLvl w:val="0"/>
              <w:rPr>
                <w:color w:val="00B050"/>
              </w:rPr>
            </w:pPr>
            <w:r>
              <w:rPr>
                <w:rFonts w:hint="eastAsia" w:ascii="楷体_GB2312" w:hAnsi="宋体" w:eastAsia="楷体_GB2312" w:cs="宋体"/>
                <w:sz w:val="24"/>
              </w:rPr>
              <w:t>出版时间</w:t>
            </w:r>
            <w:r>
              <w:rPr>
                <w:rFonts w:hint="eastAsia" w:ascii="楷体_GB2312" w:hAnsi="宋体" w:eastAsia="楷体_GB2312" w:cs="宋体"/>
                <w:sz w:val="24"/>
                <w:lang w:eastAsia="zh-CN"/>
              </w:rPr>
              <w:t>：</w:t>
            </w:r>
            <w:r>
              <w:rPr>
                <w:rFonts w:hint="eastAsia" w:ascii="楷体_GB2312" w:hAnsi="宋体" w:eastAsia="楷体_GB2312" w:cs="宋体"/>
                <w:sz w:val="24"/>
                <w:lang w:val="en-US" w:eastAsia="zh-CN"/>
              </w:rPr>
              <w:t>2011年9月第1版第1次印刷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both"/>
              <w:rPr>
                <w:rFonts w:hint="eastAsia" w:eastAsiaTheme="minorEastAsia"/>
                <w:color w:val="00B050"/>
                <w:lang w:eastAsia="zh-CN"/>
              </w:rPr>
            </w:pPr>
            <w:r>
              <w:rPr>
                <w:rFonts w:hint="eastAsia"/>
                <w:color w:val="00B050"/>
                <w:lang w:val="en-US" w:eastAsia="zh-CN"/>
              </w:rPr>
              <w:t xml:space="preserve">                                 </w:t>
            </w:r>
            <w:r>
              <w:rPr>
                <w:rFonts w:hint="eastAsia"/>
                <w:color w:val="00B05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rFonts w:hint="eastAsia" w:eastAsiaTheme="minorEastAsia"/>
                <w:color w:val="00B050"/>
                <w:lang w:eastAsia="zh-CN"/>
              </w:rPr>
            </w:pPr>
            <w:r>
              <w:rPr>
                <w:rFonts w:hint="eastAsia"/>
                <w:color w:val="00B050"/>
                <w:lang w:eastAsia="zh-CN"/>
              </w:rPr>
              <w:t>无</w:t>
            </w:r>
          </w:p>
        </w:tc>
      </w:tr>
    </w:tbl>
    <w:p>
      <w:pPr>
        <w:spacing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Symeteo">
    <w:altName w:val="Latha"/>
    <w:panose1 w:val="00000000000000000000"/>
    <w:charset w:val="00"/>
    <w:family w:val="auto"/>
    <w:pitch w:val="default"/>
    <w:sig w:usb0="00000000" w:usb1="00000000" w:usb2="00000000" w:usb3="00000000" w:csb0="000001FF" w:csb1="00000000"/>
  </w:font>
  <w:font w:name="Latha">
    <w:panose1 w:val="02000400000000000000"/>
    <w:charset w:val="00"/>
    <w:family w:val="auto"/>
    <w:pitch w:val="default"/>
    <w:sig w:usb0="00100000" w:usb1="00000000" w:usb2="00000000" w:usb3="00000000" w:csb0="00000000" w:csb1="00000000"/>
  </w:font>
  <w:font w:name="楷体_GB2312">
    <w:panose1 w:val="02010609030101010101"/>
    <w:charset w:val="86"/>
    <w:family w:val="decorative"/>
    <w:pitch w:val="default"/>
    <w:sig w:usb0="00000001" w:usb1="080E0000" w:usb2="00000000" w:usb3="00000000" w:csb0="00040000" w:csb1="00000000"/>
  </w:font>
  <w:font w:name="楷体">
    <w:altName w:val="宋体"/>
    <w:panose1 w:val="02010600030101010101"/>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2016夏季学期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858A7"/>
    <w:multiLevelType w:val="singleLevel"/>
    <w:tmpl w:val="564858A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54053FC"/>
    <w:rsid w:val="16F37B36"/>
    <w:rsid w:val="4612747A"/>
    <w:rsid w:val="69D41AB5"/>
    <w:rsid w:val="77E12CD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149</Words>
  <Characters>853</Characters>
  <Lines>7</Lines>
  <Paragraphs>1</Paragraphs>
  <ScaleCrop>false</ScaleCrop>
  <LinksUpToDate>false</LinksUpToDate>
  <CharactersWithSpaces>1001</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Administrator</cp:lastModifiedBy>
  <cp:lastPrinted>2014-04-28T01:34:00Z</cp:lastPrinted>
  <dcterms:modified xsi:type="dcterms:W3CDTF">2016-10-08T06:46:48Z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