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b w:val="0"/>
          <w:bCs/>
          <w:sz w:val="21"/>
          <w:szCs w:val="21"/>
          <w:lang w:val="en-US" w:eastAsia="zh-CN"/>
        </w:rPr>
      </w:pPr>
      <w:r>
        <w:rPr>
          <w:rFonts w:hint="eastAsia"/>
          <w:b w:val="0"/>
          <w:bCs/>
          <w:sz w:val="21"/>
          <w:szCs w:val="21"/>
          <w:lang w:eastAsia="zh-CN"/>
        </w:rPr>
        <w:t>附表</w:t>
      </w:r>
      <w:r>
        <w:rPr>
          <w:rFonts w:hint="eastAsia"/>
          <w:b w:val="0"/>
          <w:bCs/>
          <w:sz w:val="21"/>
          <w:szCs w:val="21"/>
          <w:lang w:val="en-US" w:eastAsia="zh-CN"/>
        </w:rPr>
        <w:t>2</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b/>
          <w:sz w:val="32"/>
          <w:szCs w:val="32"/>
        </w:rPr>
      </w:pPr>
      <w:r>
        <w:rPr>
          <w:b/>
          <w:sz w:val="32"/>
          <w:szCs w:val="32"/>
        </w:rPr>
        <w:t>课程教学大纲</w:t>
      </w:r>
    </w:p>
    <w:p>
      <w:pPr>
        <w:ind w:firstLine="1050" w:firstLineChars="500"/>
      </w:pPr>
    </w:p>
    <w:tbl>
      <w:tblPr>
        <w:tblStyle w:val="11"/>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114"/>
        <w:gridCol w:w="1299"/>
        <w:gridCol w:w="967"/>
        <w:gridCol w:w="618"/>
        <w:gridCol w:w="1716"/>
        <w:gridCol w:w="2215"/>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9D9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985" w:type="dxa"/>
            <w:vAlign w:val="center"/>
          </w:tcPr>
          <w:p>
            <w:pPr>
              <w:jc w:val="center"/>
            </w:pPr>
            <w:r>
              <w:rPr>
                <w:rFonts w:hint="eastAsia"/>
              </w:rPr>
              <w:t>课程代码</w:t>
            </w:r>
          </w:p>
          <w:p>
            <w:pPr>
              <w:jc w:val="center"/>
            </w:pPr>
            <w:r>
              <w:t>（</w:t>
            </w:r>
            <w:r>
              <w:rPr>
                <w:rFonts w:hint="eastAsia"/>
              </w:rPr>
              <w:t>Course Code）</w:t>
            </w:r>
          </w:p>
        </w:tc>
        <w:tc>
          <w:tcPr>
            <w:tcW w:w="1114" w:type="dxa"/>
            <w:vAlign w:val="center"/>
          </w:tcPr>
          <w:p>
            <w:pPr>
              <w:jc w:val="center"/>
              <w:rPr>
                <w:w w:val="90"/>
              </w:rPr>
            </w:pPr>
            <w:r>
              <w:rPr>
                <w:rFonts w:hint="eastAsia"/>
              </w:rPr>
              <w:t>P</w:t>
            </w:r>
            <w:r>
              <w:t>S906</w:t>
            </w:r>
          </w:p>
        </w:tc>
        <w:tc>
          <w:tcPr>
            <w:tcW w:w="1299"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967" w:type="dxa"/>
            <w:vAlign w:val="center"/>
          </w:tcPr>
          <w:p>
            <w:pPr>
              <w:jc w:val="center"/>
            </w:pPr>
            <w:r>
              <w:rPr>
                <w:rFonts w:hint="eastAsia"/>
              </w:rPr>
              <w:t>32</w:t>
            </w:r>
          </w:p>
        </w:tc>
        <w:tc>
          <w:tcPr>
            <w:tcW w:w="2334" w:type="dxa"/>
            <w:gridSpan w:val="2"/>
            <w:vAlign w:val="center"/>
          </w:tcPr>
          <w:p>
            <w:pPr>
              <w:jc w:val="center"/>
            </w:pPr>
            <w:r>
              <w:rPr>
                <w:rFonts w:hint="eastAsia"/>
                <w:color w:val="FF0000"/>
              </w:rPr>
              <w:t>*</w:t>
            </w:r>
            <w:r>
              <w:t>学分</w:t>
            </w:r>
          </w:p>
          <w:p>
            <w:pPr>
              <w:jc w:val="center"/>
            </w:pPr>
            <w:r>
              <w:t>（Credits）</w:t>
            </w:r>
          </w:p>
        </w:tc>
        <w:tc>
          <w:tcPr>
            <w:tcW w:w="2225" w:type="dxa"/>
            <w:gridSpan w:val="2"/>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985" w:type="dxa"/>
            <w:vMerge w:val="restart"/>
            <w:vAlign w:val="center"/>
          </w:tcPr>
          <w:p>
            <w:r>
              <w:rPr>
                <w:rFonts w:hint="eastAsia"/>
                <w:color w:val="FF0000"/>
              </w:rPr>
              <w:t>*</w:t>
            </w:r>
            <w:r>
              <w:t>课程名称</w:t>
            </w:r>
          </w:p>
          <w:p>
            <w:r>
              <w:t>（</w:t>
            </w:r>
            <w:r>
              <w:rPr>
                <w:rFonts w:hint="eastAsia"/>
              </w:rPr>
              <w:t>Course Name）</w:t>
            </w:r>
          </w:p>
        </w:tc>
        <w:tc>
          <w:tcPr>
            <w:tcW w:w="7939" w:type="dxa"/>
            <w:gridSpan w:val="7"/>
            <w:vAlign w:val="top"/>
          </w:tcPr>
          <w:p>
            <w:pPr>
              <w:spacing w:line="360" w:lineRule="auto"/>
              <w:jc w:val="center"/>
              <w:rPr>
                <w:color w:val="00B050"/>
              </w:rPr>
            </w:pPr>
            <w:r>
              <w:rPr>
                <w:rFonts w:hint="eastAsia"/>
              </w:rPr>
              <w:t>大学生健康</w:t>
            </w:r>
            <w:r>
              <w:t>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985" w:type="dxa"/>
            <w:vMerge w:val="continue"/>
            <w:vAlign w:val="top"/>
          </w:tcPr>
          <w:p>
            <w:pPr>
              <w:jc w:val="left"/>
            </w:pPr>
          </w:p>
        </w:tc>
        <w:tc>
          <w:tcPr>
            <w:tcW w:w="7939" w:type="dxa"/>
            <w:gridSpan w:val="7"/>
            <w:vAlign w:val="top"/>
          </w:tcPr>
          <w:p>
            <w:pPr>
              <w:spacing w:line="276" w:lineRule="auto"/>
              <w:ind w:firstLine="105" w:firstLineChars="50"/>
              <w:jc w:val="center"/>
              <w:rPr>
                <w:color w:val="00B050"/>
              </w:rPr>
            </w:pPr>
            <w:r>
              <w:t>Healthy</w:t>
            </w:r>
            <w:r>
              <w:rPr>
                <w:rFonts w:hint="eastAsia"/>
              </w:rPr>
              <w:t xml:space="preserve"> P</w:t>
            </w:r>
            <w:r>
              <w:t>sychology of College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985" w:type="dxa"/>
            <w:vAlign w:val="center"/>
          </w:tcPr>
          <w:p>
            <w:pPr>
              <w:jc w:val="center"/>
            </w:pPr>
            <w:r>
              <w:rPr>
                <w:rFonts w:hint="eastAsia"/>
              </w:rPr>
              <w:t>课程性质</w:t>
            </w:r>
          </w:p>
          <w:p>
            <w:pPr>
              <w:jc w:val="center"/>
            </w:pPr>
            <w:r>
              <w:rPr>
                <w:rFonts w:hint="eastAsia"/>
              </w:rPr>
              <w:t>(Course Type)</w:t>
            </w:r>
          </w:p>
        </w:tc>
        <w:tc>
          <w:tcPr>
            <w:tcW w:w="7939" w:type="dxa"/>
            <w:gridSpan w:val="7"/>
            <w:vAlign w:val="center"/>
          </w:tcPr>
          <w:p>
            <w:pPr>
              <w:jc w:val="center"/>
              <w:rPr>
                <w:color w:val="00B050"/>
              </w:rPr>
            </w:pPr>
            <w:r>
              <w:rPr>
                <w:rFonts w:hint="eastAsia"/>
              </w:rPr>
              <w:t>通识</w:t>
            </w:r>
            <w: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jc w:val="center"/>
            </w:pPr>
            <w:r>
              <w:rPr>
                <w:rFonts w:hint="eastAsia"/>
              </w:rPr>
              <w:t>授课对象</w:t>
            </w:r>
          </w:p>
          <w:p>
            <w:pPr>
              <w:jc w:val="center"/>
            </w:pPr>
            <w:r>
              <w:rPr>
                <w:rFonts w:hint="eastAsia"/>
              </w:rPr>
              <w:t>（Audience）</w:t>
            </w:r>
          </w:p>
        </w:tc>
        <w:tc>
          <w:tcPr>
            <w:tcW w:w="7939" w:type="dxa"/>
            <w:gridSpan w:val="7"/>
            <w:vAlign w:val="center"/>
          </w:tcPr>
          <w:p>
            <w:pPr>
              <w:jc w:val="center"/>
            </w:pPr>
            <w:r>
              <w:rPr>
                <w:rFonts w:hint="eastAsia"/>
                <w:lang w:eastAsia="zh-CN"/>
              </w:rPr>
              <w:t>大一</w:t>
            </w:r>
            <w:r>
              <w:rPr>
                <w:rFonts w:hint="eastAsia"/>
              </w:rPr>
              <w:t>本科学</w:t>
            </w:r>
            <w:r>
              <w:t>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jc w:val="center"/>
            </w:pPr>
            <w:r>
              <w:rPr>
                <w:rFonts w:hint="eastAsia"/>
              </w:rPr>
              <w:t>授课语言</w:t>
            </w:r>
          </w:p>
          <w:p>
            <w:pPr>
              <w:jc w:val="left"/>
            </w:pPr>
            <w:r>
              <w:rPr>
                <w:rFonts w:hint="default" w:ascii="Times New Roman" w:hAnsi="Times New Roman" w:cs="Times New Roman"/>
              </w:rPr>
              <w:t>(Language of Instruction)</w:t>
            </w:r>
          </w:p>
        </w:tc>
        <w:tc>
          <w:tcPr>
            <w:tcW w:w="7939" w:type="dxa"/>
            <w:gridSpan w:val="7"/>
            <w:vAlign w:val="center"/>
          </w:tcPr>
          <w:p>
            <w:pPr>
              <w:jc w:val="center"/>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85"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939" w:type="dxa"/>
            <w:gridSpan w:val="7"/>
            <w:vAlign w:val="center"/>
          </w:tcPr>
          <w:p>
            <w:pPr>
              <w:jc w:val="center"/>
            </w:pPr>
            <w:r>
              <w:t>学指委、团委(含学生处、人武部)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jc w:val="center"/>
            </w:pPr>
            <w:r>
              <w:rPr>
                <w:rFonts w:hint="eastAsia"/>
              </w:rPr>
              <w:t>先修课程</w:t>
            </w:r>
          </w:p>
          <w:p>
            <w:pPr>
              <w:jc w:val="center"/>
            </w:pPr>
            <w:r>
              <w:rPr>
                <w:rFonts w:hint="eastAsia"/>
              </w:rPr>
              <w:t>（Prerequisite）</w:t>
            </w:r>
          </w:p>
        </w:tc>
        <w:tc>
          <w:tcPr>
            <w:tcW w:w="7939" w:type="dxa"/>
            <w:gridSpan w:val="7"/>
            <w:vAlign w:val="center"/>
          </w:tcPr>
          <w:p>
            <w:pPr>
              <w:jc w:val="cente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596" w:hRule="atLeast"/>
        </w:trPr>
        <w:tc>
          <w:tcPr>
            <w:tcW w:w="1985" w:type="dxa"/>
            <w:vAlign w:val="center"/>
          </w:tcPr>
          <w:p>
            <w:pPr>
              <w:jc w:val="center"/>
            </w:pPr>
            <w:r>
              <w:rPr>
                <w:rFonts w:hint="eastAsia"/>
              </w:rPr>
              <w:t>授课教师</w:t>
            </w:r>
          </w:p>
          <w:p>
            <w:pPr>
              <w:jc w:val="center"/>
            </w:pPr>
            <w:r>
              <w:rPr>
                <w:rFonts w:hint="eastAsia"/>
              </w:rPr>
              <w:t>（Instructor）</w:t>
            </w:r>
          </w:p>
        </w:tc>
        <w:tc>
          <w:tcPr>
            <w:tcW w:w="2413" w:type="dxa"/>
            <w:gridSpan w:val="2"/>
            <w:vAlign w:val="center"/>
          </w:tcPr>
          <w:p>
            <w:pPr>
              <w:jc w:val="center"/>
            </w:pPr>
            <w:r>
              <w:t>易晓明</w:t>
            </w:r>
            <w:r>
              <w:rPr>
                <w:rFonts w:hint="eastAsia"/>
                <w:lang w:val="en-US" w:eastAsia="zh-CN"/>
              </w:rPr>
              <w:t>,</w:t>
            </w:r>
            <w:r>
              <w:t>薛</w:t>
            </w:r>
            <w:r>
              <w:rPr>
                <w:rFonts w:hint="eastAsia"/>
              </w:rPr>
              <w:t>璟</w:t>
            </w:r>
          </w:p>
        </w:tc>
        <w:tc>
          <w:tcPr>
            <w:tcW w:w="1585" w:type="dxa"/>
            <w:gridSpan w:val="2"/>
            <w:vAlign w:val="center"/>
          </w:tcPr>
          <w:p>
            <w:pPr>
              <w:jc w:val="center"/>
            </w:pPr>
            <w:r>
              <w:rPr>
                <w:rFonts w:hint="eastAsia"/>
              </w:rPr>
              <w:t>课程网址</w:t>
            </w:r>
          </w:p>
          <w:p>
            <w:pPr>
              <w:jc w:val="center"/>
            </w:pPr>
            <w:r>
              <w:rPr>
                <w:rFonts w:hint="default" w:ascii="Times New Roman" w:hAnsi="Times New Roman" w:cs="Times New Roman"/>
                <w:sz w:val="18"/>
                <w:szCs w:val="18"/>
              </w:rPr>
              <w:t>(Course Webpage)</w:t>
            </w:r>
          </w:p>
        </w:tc>
        <w:tc>
          <w:tcPr>
            <w:tcW w:w="3931" w:type="dxa"/>
            <w:gridSpan w:val="2"/>
            <w:vAlign w:val="center"/>
          </w:tcPr>
          <w:p>
            <w:pPr>
              <w:jc w:val="center"/>
              <w:rPr>
                <w:color w:val="00B050"/>
                <w:sz w:val="10"/>
                <w:szCs w:val="10"/>
              </w:rPr>
            </w:pPr>
            <w:r>
              <w:fldChar w:fldCharType="begin"/>
            </w:r>
            <w:r>
              <w:instrText xml:space="preserve">HYPERLINK "http://cc.sjtu.edu.cn/G2S/Template/View.aspx?action=view&amp;courseType=0&amp;courseId=7081" </w:instrText>
            </w:r>
            <w:r>
              <w:fldChar w:fldCharType="separate"/>
            </w:r>
            <w:r>
              <w:rPr>
                <w:rStyle w:val="9"/>
                <w:sz w:val="10"/>
                <w:szCs w:val="10"/>
              </w:rPr>
              <w:t>http://cc.sjtu.edu.cn/G2S/Template/View.aspx?action=view&amp;courseType=0&amp;courseId=7081</w:t>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985" w:type="dxa"/>
            <w:vAlign w:val="center"/>
          </w:tcPr>
          <w:p>
            <w:pPr>
              <w:jc w:val="center"/>
              <w:rPr>
                <w:color w:val="FF0000"/>
              </w:rPr>
            </w:pPr>
            <w:r>
              <w:rPr>
                <w:rFonts w:hint="eastAsia"/>
                <w:color w:val="FF0000"/>
              </w:rPr>
              <w:t>*</w:t>
            </w:r>
            <w:r>
              <w:rPr>
                <w:rFonts w:hint="eastAsia"/>
              </w:rPr>
              <w:t>课程简介</w:t>
            </w:r>
            <w:r>
              <w:rPr>
                <w:rFonts w:hint="eastAsia"/>
                <w:w w:val="90"/>
              </w:rPr>
              <w:t>（Description）</w:t>
            </w:r>
          </w:p>
        </w:tc>
        <w:tc>
          <w:tcPr>
            <w:tcW w:w="7939" w:type="dxa"/>
            <w:gridSpan w:val="7"/>
            <w:vAlign w:val="center"/>
          </w:tcPr>
          <w:p>
            <w:pPr>
              <w:pStyle w:val="5"/>
              <w:spacing w:before="0" w:beforeAutospacing="0" w:after="0" w:afterAutospacing="0"/>
              <w:ind w:firstLine="360"/>
              <w:rPr>
                <w:rFonts w:hint="eastAsia" w:ascii="Calibri" w:hAnsi="Calibri"/>
                <w:kern w:val="2"/>
                <w:sz w:val="21"/>
                <w:szCs w:val="22"/>
                <w:lang w:eastAsia="zh-CN"/>
              </w:rPr>
            </w:pPr>
            <w:r>
              <w:rPr>
                <w:rFonts w:ascii="Calibri" w:hAnsi="Calibri"/>
                <w:kern w:val="2"/>
                <w:sz w:val="21"/>
                <w:szCs w:val="22"/>
              </w:rPr>
              <w:t>《</w:t>
            </w:r>
            <w:r>
              <w:rPr>
                <w:rFonts w:hint="eastAsia" w:ascii="Calibri" w:hAnsi="Calibri"/>
                <w:kern w:val="2"/>
                <w:sz w:val="21"/>
                <w:szCs w:val="22"/>
                <w:lang w:eastAsia="zh-CN"/>
              </w:rPr>
              <w:t>大学生</w:t>
            </w:r>
            <w:r>
              <w:rPr>
                <w:rFonts w:ascii="Calibri" w:hAnsi="Calibri"/>
                <w:kern w:val="2"/>
                <w:sz w:val="21"/>
                <w:szCs w:val="22"/>
              </w:rPr>
              <w:t>健康心理学》</w:t>
            </w:r>
            <w:r>
              <w:rPr>
                <w:rFonts w:hint="eastAsia" w:ascii="Calibri" w:hAnsi="Calibri"/>
                <w:kern w:val="2"/>
                <w:sz w:val="21"/>
                <w:szCs w:val="22"/>
                <w:lang w:eastAsia="zh-CN"/>
              </w:rPr>
              <w:t>集</w:t>
            </w:r>
            <w:r>
              <w:rPr>
                <w:rFonts w:ascii="Calibri" w:hAnsi="Calibri"/>
                <w:kern w:val="2"/>
                <w:sz w:val="21"/>
                <w:szCs w:val="22"/>
              </w:rPr>
              <w:t>上海交通大学心理咨询中心</w:t>
            </w:r>
            <w:r>
              <w:rPr>
                <w:rFonts w:hint="eastAsia" w:ascii="Calibri" w:hAnsi="Calibri"/>
                <w:kern w:val="2"/>
                <w:sz w:val="21"/>
                <w:szCs w:val="22"/>
                <w:lang w:eastAsia="zh-CN"/>
              </w:rPr>
              <w:t>两位资深</w:t>
            </w:r>
            <w:r>
              <w:rPr>
                <w:rFonts w:ascii="Calibri" w:hAnsi="Calibri"/>
                <w:kern w:val="2"/>
                <w:sz w:val="21"/>
                <w:szCs w:val="22"/>
              </w:rPr>
              <w:t>老师</w:t>
            </w:r>
            <w:r>
              <w:rPr>
                <w:rFonts w:hint="eastAsia" w:ascii="Calibri" w:hAnsi="Calibri"/>
                <w:kern w:val="2"/>
                <w:sz w:val="21"/>
                <w:szCs w:val="22"/>
                <w:lang w:eastAsia="zh-CN"/>
              </w:rPr>
              <w:t>在</w:t>
            </w:r>
            <w:r>
              <w:rPr>
                <w:rFonts w:ascii="Calibri" w:hAnsi="Calibri"/>
                <w:kern w:val="2"/>
                <w:sz w:val="21"/>
                <w:szCs w:val="22"/>
              </w:rPr>
              <w:t>个体咨询、团体</w:t>
            </w:r>
            <w:r>
              <w:rPr>
                <w:rFonts w:hint="eastAsia" w:ascii="Calibri" w:hAnsi="Calibri"/>
                <w:kern w:val="2"/>
                <w:sz w:val="21"/>
                <w:szCs w:val="22"/>
                <w:lang w:eastAsia="zh-CN"/>
              </w:rPr>
              <w:t>辅导</w:t>
            </w:r>
            <w:r>
              <w:rPr>
                <w:rFonts w:ascii="Calibri" w:hAnsi="Calibri"/>
                <w:kern w:val="2"/>
                <w:sz w:val="21"/>
                <w:szCs w:val="22"/>
              </w:rPr>
              <w:t>以及</w:t>
            </w:r>
            <w:r>
              <w:rPr>
                <w:rFonts w:hint="eastAsia" w:ascii="Calibri" w:hAnsi="Calibri"/>
                <w:kern w:val="2"/>
                <w:sz w:val="21"/>
                <w:szCs w:val="22"/>
                <w:lang w:eastAsia="zh-CN"/>
              </w:rPr>
              <w:t>多年的教学经验</w:t>
            </w:r>
            <w:r>
              <w:rPr>
                <w:rFonts w:ascii="Calibri" w:hAnsi="Calibri"/>
                <w:kern w:val="2"/>
                <w:sz w:val="21"/>
                <w:szCs w:val="22"/>
              </w:rPr>
              <w:t>之精华，</w:t>
            </w:r>
            <w:r>
              <w:rPr>
                <w:rFonts w:hint="eastAsia" w:ascii="Calibri" w:hAnsi="Calibri"/>
                <w:kern w:val="2"/>
                <w:sz w:val="21"/>
                <w:szCs w:val="22"/>
                <w:lang w:eastAsia="zh-CN"/>
              </w:rPr>
              <w:t>并</w:t>
            </w:r>
            <w:r>
              <w:rPr>
                <w:rFonts w:ascii="Calibri" w:hAnsi="Calibri"/>
                <w:kern w:val="2"/>
                <w:sz w:val="21"/>
                <w:szCs w:val="22"/>
              </w:rPr>
              <w:t>结合九零后学生的独特心理发展特点而开设的一门课程</w:t>
            </w:r>
            <w:r>
              <w:rPr>
                <w:rFonts w:hint="eastAsia" w:ascii="Calibri" w:hAnsi="Calibri"/>
                <w:kern w:val="2"/>
                <w:sz w:val="21"/>
                <w:szCs w:val="22"/>
                <w:lang w:eastAsia="zh-CN"/>
              </w:rPr>
              <w:t>。</w:t>
            </w:r>
          </w:p>
          <w:p>
            <w:pPr>
              <w:pStyle w:val="5"/>
              <w:spacing w:before="0" w:beforeAutospacing="0" w:after="0" w:afterAutospacing="0"/>
              <w:ind w:firstLine="360"/>
              <w:rPr>
                <w:rFonts w:hint="eastAsia" w:ascii="Calibri" w:hAnsi="Calibri"/>
                <w:kern w:val="2"/>
                <w:sz w:val="21"/>
                <w:szCs w:val="22"/>
                <w:lang w:eastAsia="zh-CN"/>
              </w:rPr>
            </w:pPr>
            <w:r>
              <w:rPr>
                <w:rFonts w:hint="eastAsia" w:ascii="Calibri" w:hAnsi="Calibri"/>
                <w:kern w:val="2"/>
                <w:sz w:val="21"/>
                <w:szCs w:val="22"/>
                <w:lang w:eastAsia="zh-CN"/>
              </w:rPr>
              <w:t>从大学生心理测试的结果来看，大学生日常的心理困扰主要集中在学校适应、人际关系、学业压力、恋爱、就业压力这五个方面，本课程即围绕这些内容展开，深入讲解大学生性格发展成因</w:t>
            </w:r>
            <w:r>
              <w:rPr>
                <w:rFonts w:ascii="Calibri" w:hAnsi="Calibri"/>
                <w:kern w:val="2"/>
                <w:sz w:val="21"/>
                <w:szCs w:val="22"/>
              </w:rPr>
              <w:t>、</w:t>
            </w:r>
            <w:r>
              <w:rPr>
                <w:rFonts w:hint="eastAsia" w:ascii="Calibri" w:hAnsi="Calibri"/>
                <w:kern w:val="2"/>
                <w:sz w:val="21"/>
                <w:szCs w:val="22"/>
                <w:lang w:eastAsia="zh-CN"/>
              </w:rPr>
              <w:t>情感心理、情绪管理、时间管理、</w:t>
            </w:r>
            <w:r>
              <w:rPr>
                <w:rFonts w:ascii="Calibri" w:hAnsi="Calibri"/>
                <w:kern w:val="2"/>
                <w:sz w:val="21"/>
                <w:szCs w:val="22"/>
              </w:rPr>
              <w:t>人际交往</w:t>
            </w:r>
            <w:r>
              <w:rPr>
                <w:rFonts w:hint="eastAsia" w:ascii="Calibri" w:hAnsi="Calibri"/>
                <w:kern w:val="2"/>
                <w:sz w:val="21"/>
                <w:szCs w:val="22"/>
                <w:lang w:eastAsia="zh-CN"/>
              </w:rPr>
              <w:t>心理等内容，让</w:t>
            </w:r>
            <w:r>
              <w:rPr>
                <w:rFonts w:ascii="Calibri" w:hAnsi="Calibri"/>
                <w:kern w:val="2"/>
                <w:sz w:val="21"/>
                <w:szCs w:val="22"/>
              </w:rPr>
              <w:t>学生</w:t>
            </w:r>
            <w:r>
              <w:rPr>
                <w:rFonts w:hint="eastAsia" w:ascii="Calibri" w:hAnsi="Calibri"/>
                <w:kern w:val="2"/>
                <w:sz w:val="21"/>
                <w:szCs w:val="22"/>
                <w:lang w:eastAsia="zh-CN"/>
              </w:rPr>
              <w:t>在深入</w:t>
            </w:r>
            <w:r>
              <w:rPr>
                <w:rFonts w:ascii="Calibri" w:hAnsi="Calibri"/>
                <w:kern w:val="2"/>
                <w:sz w:val="21"/>
                <w:szCs w:val="22"/>
              </w:rPr>
              <w:t>了解自己</w:t>
            </w:r>
            <w:r>
              <w:rPr>
                <w:rFonts w:hint="eastAsia" w:ascii="Calibri" w:hAnsi="Calibri"/>
                <w:kern w:val="2"/>
                <w:sz w:val="21"/>
                <w:szCs w:val="22"/>
                <w:lang w:eastAsia="zh-CN"/>
              </w:rPr>
              <w:t>的基础上，掌握</w:t>
            </w:r>
            <w:r>
              <w:rPr>
                <w:rFonts w:ascii="Calibri" w:hAnsi="Calibri"/>
                <w:kern w:val="2"/>
                <w:sz w:val="21"/>
                <w:szCs w:val="22"/>
              </w:rPr>
              <w:t>人际交往</w:t>
            </w:r>
            <w:r>
              <w:rPr>
                <w:rFonts w:hint="eastAsia" w:ascii="Calibri" w:hAnsi="Calibri"/>
                <w:kern w:val="2"/>
                <w:sz w:val="21"/>
                <w:szCs w:val="22"/>
                <w:lang w:eastAsia="zh-CN"/>
              </w:rPr>
              <w:t>的艺术和心理调节</w:t>
            </w:r>
            <w:r>
              <w:rPr>
                <w:rFonts w:ascii="Calibri" w:hAnsi="Calibri"/>
                <w:kern w:val="2"/>
                <w:sz w:val="21"/>
                <w:szCs w:val="22"/>
              </w:rPr>
              <w:t>的技巧</w:t>
            </w:r>
            <w:r>
              <w:rPr>
                <w:rFonts w:hint="eastAsia" w:ascii="Calibri" w:hAnsi="Calibri"/>
                <w:kern w:val="2"/>
                <w:sz w:val="21"/>
                <w:szCs w:val="22"/>
                <w:lang w:eastAsia="zh-CN"/>
              </w:rPr>
              <w:t>，更有创造力地面对生活和学习的挑战和困难，成为“成功且幸福”的人。</w:t>
            </w:r>
          </w:p>
          <w:p>
            <w:pPr>
              <w:pStyle w:val="5"/>
              <w:spacing w:before="0" w:beforeAutospacing="0" w:after="0" w:afterAutospacing="0"/>
              <w:ind w:firstLine="360"/>
              <w:rPr>
                <w:rFonts w:ascii="Calibri" w:hAnsi="Calibri"/>
                <w:kern w:val="2"/>
                <w:sz w:val="21"/>
                <w:szCs w:val="22"/>
              </w:rPr>
            </w:pPr>
            <w:r>
              <w:rPr>
                <w:rFonts w:hint="eastAsia" w:ascii="Calibri" w:hAnsi="Calibri"/>
                <w:kern w:val="2"/>
                <w:sz w:val="21"/>
                <w:szCs w:val="22"/>
                <w:lang w:eastAsia="zh-CN"/>
              </w:rPr>
              <w:t>本课程的授课方式丰富多彩，有教师讲授</w:t>
            </w:r>
            <w:r>
              <w:rPr>
                <w:rFonts w:ascii="Calibri" w:hAnsi="Calibri"/>
                <w:kern w:val="2"/>
                <w:sz w:val="21"/>
                <w:szCs w:val="22"/>
              </w:rPr>
              <w:t>、课堂讨论</w:t>
            </w:r>
            <w:r>
              <w:rPr>
                <w:rFonts w:hint="eastAsia" w:ascii="Calibri" w:hAnsi="Calibri"/>
                <w:kern w:val="2"/>
                <w:sz w:val="21"/>
                <w:szCs w:val="22"/>
                <w:lang w:eastAsia="zh-CN"/>
              </w:rPr>
              <w:t>、体验活动、小组展示、课后作业</w:t>
            </w:r>
            <w:r>
              <w:rPr>
                <w:rFonts w:ascii="Calibri" w:hAnsi="Calibri"/>
                <w:kern w:val="2"/>
                <w:sz w:val="21"/>
                <w:szCs w:val="22"/>
              </w:rPr>
              <w:t>等多种形式</w:t>
            </w:r>
            <w:r>
              <w:rPr>
                <w:rFonts w:hint="eastAsia" w:ascii="Calibri" w:hAnsi="Calibri"/>
                <w:kern w:val="2"/>
                <w:sz w:val="21"/>
                <w:szCs w:val="22"/>
                <w:lang w:eastAsia="zh-CN"/>
              </w:rPr>
              <w:t>，因此学生可以在课堂中锻炼人际交往、公众演讲、批判性思维、创造力等未来社会需要的软技能。其中出勤率、</w:t>
            </w:r>
            <w:r>
              <w:rPr>
                <w:rFonts w:ascii="Calibri" w:hAnsi="Calibri"/>
                <w:kern w:val="2"/>
                <w:sz w:val="21"/>
                <w:szCs w:val="22"/>
              </w:rPr>
              <w:t>课堂展示</w:t>
            </w:r>
            <w:r>
              <w:rPr>
                <w:rFonts w:hint="eastAsia" w:ascii="Calibri" w:hAnsi="Calibri"/>
                <w:kern w:val="2"/>
                <w:sz w:val="21"/>
                <w:szCs w:val="22"/>
                <w:lang w:eastAsia="zh-CN"/>
              </w:rPr>
              <w:t>和课后</w:t>
            </w:r>
            <w:r>
              <w:rPr>
                <w:rFonts w:ascii="Calibri" w:hAnsi="Calibri"/>
                <w:kern w:val="2"/>
                <w:sz w:val="21"/>
                <w:szCs w:val="22"/>
              </w:rPr>
              <w:t>作业将作为学生成绩评定的一部分。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9" w:hRule="atLeast"/>
        </w:trPr>
        <w:tc>
          <w:tcPr>
            <w:tcW w:w="1985" w:type="dxa"/>
            <w:vAlign w:val="center"/>
          </w:tcPr>
          <w:p>
            <w:pPr>
              <w:jc w:val="center"/>
            </w:pPr>
            <w:r>
              <w:rPr>
                <w:rFonts w:hint="eastAsia"/>
                <w:color w:val="FF0000"/>
              </w:rPr>
              <w:t>*</w:t>
            </w:r>
            <w:r>
              <w:rPr>
                <w:rFonts w:hint="eastAsia"/>
              </w:rPr>
              <w:t>课程简介</w:t>
            </w:r>
            <w:r>
              <w:rPr>
                <w:rFonts w:hint="eastAsia"/>
                <w:w w:val="90"/>
              </w:rPr>
              <w:t>（Description）</w:t>
            </w:r>
          </w:p>
        </w:tc>
        <w:tc>
          <w:tcPr>
            <w:tcW w:w="7939" w:type="dxa"/>
            <w:gridSpan w:val="7"/>
            <w:vAlign w:val="center"/>
          </w:tcPr>
          <w:p>
            <w:pPr>
              <w:pStyle w:val="5"/>
              <w:spacing w:before="0" w:beforeAutospacing="0" w:after="0" w:afterAutospacing="0"/>
              <w:ind w:firstLine="360"/>
              <w:rPr>
                <w:rFonts w:ascii="Calibri" w:hAnsi="Calibri"/>
                <w:kern w:val="2"/>
                <w:sz w:val="21"/>
                <w:szCs w:val="22"/>
              </w:rPr>
            </w:pPr>
            <w:r>
              <w:rPr>
                <w:rFonts w:ascii="Calibri" w:hAnsi="Calibri"/>
                <w:kern w:val="2"/>
                <w:sz w:val="21"/>
                <w:szCs w:val="22"/>
              </w:rPr>
              <w:t>”Healthy</w:t>
            </w:r>
            <w:r>
              <w:rPr>
                <w:rFonts w:hint="eastAsia" w:ascii="Calibri" w:hAnsi="Calibri"/>
                <w:kern w:val="2"/>
                <w:sz w:val="21"/>
                <w:szCs w:val="22"/>
              </w:rPr>
              <w:t xml:space="preserve"> P</w:t>
            </w:r>
            <w:r>
              <w:rPr>
                <w:rFonts w:hint="eastAsia" w:ascii="Calibri" w:hAnsi="Calibri"/>
                <w:kern w:val="2"/>
                <w:sz w:val="21"/>
                <w:szCs w:val="22"/>
                <w:lang w:val="en-US" w:eastAsia="zh-CN"/>
              </w:rPr>
              <w:t>s</w:t>
            </w:r>
            <w:r>
              <w:rPr>
                <w:rFonts w:ascii="Calibri" w:hAnsi="Calibri"/>
                <w:kern w:val="2"/>
                <w:sz w:val="21"/>
                <w:szCs w:val="22"/>
              </w:rPr>
              <w:t>yc</w:t>
            </w:r>
            <w:r>
              <w:rPr>
                <w:rFonts w:hint="eastAsia" w:ascii="Calibri" w:hAnsi="Calibri"/>
                <w:kern w:val="2"/>
                <w:sz w:val="21"/>
                <w:szCs w:val="22"/>
                <w:lang w:val="en-US" w:eastAsia="zh-CN"/>
              </w:rPr>
              <w:t>h</w:t>
            </w:r>
            <w:r>
              <w:rPr>
                <w:rFonts w:ascii="Calibri" w:hAnsi="Calibri"/>
                <w:kern w:val="2"/>
                <w:sz w:val="21"/>
                <w:szCs w:val="22"/>
              </w:rPr>
              <w:t>ology of College Students”</w:t>
            </w:r>
            <w:r>
              <w:rPr>
                <w:rFonts w:hint="eastAsia" w:ascii="Calibri" w:hAnsi="Calibri"/>
                <w:kern w:val="2"/>
                <w:sz w:val="21"/>
                <w:szCs w:val="22"/>
              </w:rPr>
              <w:t xml:space="preserve"> </w:t>
            </w:r>
            <w:r>
              <w:rPr>
                <w:rFonts w:ascii="Calibri" w:hAnsi="Calibri"/>
                <w:kern w:val="2"/>
                <w:sz w:val="21"/>
                <w:szCs w:val="22"/>
              </w:rPr>
              <w:t>is designed by the teachers in Psychological Insulting Center of SJTU based on the characteristics of the post-90s’ mental shaping. The teachers have a lot of experience in personal consultant and psychological classes.</w:t>
            </w:r>
          </w:p>
          <w:p>
            <w:pPr>
              <w:pStyle w:val="5"/>
              <w:spacing w:before="0" w:beforeAutospacing="0" w:after="0" w:afterAutospacing="0"/>
              <w:ind w:firstLine="360"/>
              <w:rPr>
                <w:rFonts w:ascii="Calibri" w:hAnsi="Calibri"/>
                <w:kern w:val="2"/>
                <w:sz w:val="21"/>
                <w:szCs w:val="22"/>
              </w:rPr>
            </w:pPr>
            <w:r>
              <w:rPr>
                <w:rFonts w:ascii="Calibri" w:hAnsi="Calibri"/>
                <w:kern w:val="2"/>
                <w:sz w:val="21"/>
                <w:szCs w:val="22"/>
              </w:rPr>
              <w:t xml:space="preserve">This course is taught by six teachers from the Psychological Center. Each teacher chooses the part they are most interested in from their researching and life to teach. It includes psychological insulting, daily communication, learning psychology, emotional psychology etc.  </w:t>
            </w:r>
          </w:p>
          <w:p>
            <w:pPr>
              <w:pStyle w:val="5"/>
              <w:spacing w:before="0" w:beforeAutospacing="0" w:after="0" w:afterAutospacing="0"/>
              <w:ind w:firstLine="360"/>
              <w:rPr>
                <w:rFonts w:ascii="Calibri" w:hAnsi="Calibri"/>
                <w:kern w:val="2"/>
                <w:sz w:val="21"/>
                <w:szCs w:val="22"/>
              </w:rPr>
            </w:pPr>
            <w:r>
              <w:rPr>
                <w:rFonts w:ascii="Calibri" w:hAnsi="Calibri"/>
                <w:kern w:val="2"/>
                <w:sz w:val="21"/>
                <w:szCs w:val="22"/>
              </w:rPr>
              <w:t>Let students understand their own personality characteristics. Understand the essence of the psychological consulting and technology. Learn interpersonal skills and the skills to mental adjustment Learn to love yourself, love family, love friends. Learn to think, to establish the correct concept of psychological counseling. Guide students to think about their own development path, to prepare students to enter society. Students communication, class interaction will be parts of the assessment of student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9D9D9"/>
            <w:vAlign w:val="center"/>
          </w:tcPr>
          <w:p>
            <w:r>
              <w:rPr>
                <w:rFonts w:hint="eastAsia"/>
              </w:rPr>
              <w:t>课程教学大纲（</w:t>
            </w:r>
            <w:r>
              <w:t>course syllabus</w:t>
            </w:r>
            <w:r>
              <w:rPr>
                <w:rFonts w:hint="eastAsia"/>
              </w:rPr>
              <w:t>）</w:t>
            </w:r>
          </w:p>
          <w:p>
            <w:pPr>
              <w:ind w:firstLine="735" w:firstLineChars="350"/>
            </w:pPr>
            <w:r>
              <w:t>通过课程的学习、讨论和互动，让大学生意识到在发展的道路上即将面临的心理挑战，引导学生思考这些挑战并学习心理调适的技巧、方法，为以后的学习和生活</w:t>
            </w:r>
            <w:r>
              <w:rPr>
                <w:rFonts w:hint="eastAsia"/>
              </w:rPr>
              <w:t>提供</w:t>
            </w:r>
            <w:r>
              <w:t>良好的</w:t>
            </w:r>
            <w:r>
              <w:rPr>
                <w:rFonts w:hint="eastAsia"/>
              </w:rPr>
              <w:t>心理基础</w:t>
            </w:r>
            <w:r>
              <w:t>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atLeast"/>
        </w:trPr>
        <w:tc>
          <w:tcPr>
            <w:tcW w:w="1985" w:type="dxa"/>
            <w:vAlign w:val="center"/>
          </w:tcPr>
          <w:p>
            <w:pPr>
              <w:jc w:val="left"/>
            </w:pPr>
            <w:r>
              <w:rPr>
                <w:rFonts w:hint="eastAsia"/>
                <w:color w:val="C00000"/>
              </w:rPr>
              <w:t>*</w:t>
            </w:r>
            <w:r>
              <w:rPr>
                <w:rFonts w:hint="eastAsia"/>
              </w:rPr>
              <w:t>学习目标(Learning Outcomes)</w:t>
            </w:r>
          </w:p>
        </w:tc>
        <w:tc>
          <w:tcPr>
            <w:tcW w:w="7939" w:type="dxa"/>
            <w:gridSpan w:val="7"/>
            <w:vAlign w:val="center"/>
          </w:tcPr>
          <w:p>
            <w:r>
              <w:rPr>
                <w:rFonts w:hint="eastAsia"/>
              </w:rPr>
              <w:t>1．</w:t>
            </w:r>
            <w:r>
              <w:t>通过课程的学习、讨论和互动，让大学生意识到在发展的道路上即将面临的心理挑战</w:t>
            </w:r>
          </w:p>
          <w:p>
            <w:r>
              <w:rPr>
                <w:rFonts w:hint="eastAsia"/>
              </w:rPr>
              <w:t>2．</w:t>
            </w:r>
            <w:r>
              <w:t>引导学生思考这些挑战并学习心理调适的技巧、方法，为以后的学习和生活提供良好的心理基础和条件</w:t>
            </w:r>
          </w:p>
          <w:p>
            <w:r>
              <w:rPr>
                <w:rFonts w:hint="eastAsia"/>
              </w:rPr>
              <w:t>3．</w:t>
            </w:r>
            <w:r>
              <w:t>学会爱自己、爱家人、爱朋友</w:t>
            </w:r>
            <w:r>
              <w:rPr>
                <w:rFonts w:hint="eastAsia"/>
              </w:rPr>
              <w:t>，</w:t>
            </w:r>
            <w:r>
              <w:t>学会调节自己的情绪</w:t>
            </w:r>
          </w:p>
          <w:p>
            <w:r>
              <w:rPr>
                <w:rFonts w:hint="eastAsia"/>
              </w:rPr>
              <w:t>4．学会</w:t>
            </w:r>
            <w:r>
              <w:t>如何沟通，如何面对挫折</w:t>
            </w:r>
            <w:r>
              <w:rPr>
                <w:rFonts w:hint="eastAsia"/>
              </w:rPr>
              <w:t>、</w:t>
            </w:r>
            <w:r>
              <w:t>压力、选择等生活中的问题</w:t>
            </w:r>
          </w:p>
          <w:p>
            <w:r>
              <w:rPr>
                <w:rFonts w:hint="eastAsia"/>
              </w:rPr>
              <w:t>5．建立</w:t>
            </w:r>
            <w:r>
              <w:t>正确的</w:t>
            </w:r>
            <w:r>
              <w:rPr>
                <w:rFonts w:hint="eastAsia"/>
              </w:rPr>
              <w:t>心理咨询</w:t>
            </w:r>
            <w:r>
              <w:t>观</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spacing w:line="460" w:lineRule="exact"/>
              <w:jc w:val="center"/>
            </w:pPr>
            <w:r>
              <w:rPr>
                <w:rFonts w:hint="eastAsia"/>
                <w:color w:val="C00000"/>
              </w:rPr>
              <w:t>*</w:t>
            </w:r>
            <w:r>
              <w:rPr>
                <w:rFonts w:hint="eastAsia"/>
              </w:rPr>
              <w:t>教学内容、进度安排及要求</w:t>
            </w:r>
          </w:p>
          <w:p>
            <w:pPr>
              <w:spacing w:line="460" w:lineRule="exact"/>
              <w:jc w:val="center"/>
            </w:pPr>
            <w:r>
              <w:rPr>
                <w:rFonts w:hint="eastAsia"/>
              </w:rPr>
              <w:t>(</w:t>
            </w:r>
            <w:r>
              <w:t>Class Schedule</w:t>
            </w:r>
          </w:p>
          <w:p>
            <w:pPr>
              <w:spacing w:line="460" w:lineRule="exact"/>
              <w:jc w:val="center"/>
            </w:pPr>
            <w:r>
              <w:rPr>
                <w:rFonts w:hint="eastAsia"/>
              </w:rPr>
              <w:t xml:space="preserve">&amp; </w:t>
            </w:r>
            <w:r>
              <w:t>Requirements</w:t>
            </w:r>
            <w:r>
              <w:rPr>
                <w:rFonts w:hint="eastAsia"/>
              </w:rPr>
              <w:t>)</w:t>
            </w:r>
          </w:p>
        </w:tc>
        <w:tc>
          <w:tcPr>
            <w:tcW w:w="7939" w:type="dxa"/>
            <w:gridSpan w:val="7"/>
            <w:vAlign w:val="center"/>
          </w:tcPr>
          <w:tbl>
            <w:tblPr>
              <w:tblStyle w:val="11"/>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931"/>
              <w:gridCol w:w="112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551" w:type="dxa"/>
                  <w:vAlign w:val="top"/>
                </w:tcPr>
                <w:p>
                  <w:pPr>
                    <w:jc w:val="center"/>
                  </w:pPr>
                  <w:r>
                    <w:rPr>
                      <w:rFonts w:hint="eastAsia"/>
                    </w:rPr>
                    <w:t>教学内容</w:t>
                  </w:r>
                </w:p>
              </w:tc>
              <w:tc>
                <w:tcPr>
                  <w:tcW w:w="931" w:type="dxa"/>
                  <w:vAlign w:val="top"/>
                </w:tcPr>
                <w:p>
                  <w:pPr>
                    <w:jc w:val="center"/>
                  </w:pPr>
                  <w:r>
                    <w:rPr>
                      <w:rFonts w:hint="eastAsia"/>
                    </w:rPr>
                    <w:t>学时</w:t>
                  </w:r>
                </w:p>
              </w:tc>
              <w:tc>
                <w:tcPr>
                  <w:tcW w:w="1124" w:type="dxa"/>
                  <w:vAlign w:val="top"/>
                </w:tcPr>
                <w:p>
                  <w:pPr>
                    <w:jc w:val="center"/>
                  </w:pPr>
                  <w:r>
                    <w:rPr>
                      <w:rFonts w:hint="eastAsia"/>
                    </w:rPr>
                    <w:t>教学方式</w:t>
                  </w:r>
                </w:p>
              </w:tc>
              <w:tc>
                <w:tcPr>
                  <w:tcW w:w="1355" w:type="dxa"/>
                  <w:vAlign w:val="top"/>
                </w:tcPr>
                <w:p>
                  <w:pPr>
                    <w:jc w:val="center"/>
                  </w:pPr>
                  <w:r>
                    <w:rPr>
                      <w:rFonts w:hint="eastAsia"/>
                    </w:rPr>
                    <w:t>作业及要求</w:t>
                  </w:r>
                </w:p>
              </w:tc>
              <w:tc>
                <w:tcPr>
                  <w:tcW w:w="1146" w:type="dxa"/>
                  <w:vAlign w:val="top"/>
                </w:tcPr>
                <w:p>
                  <w:r>
                    <w:rPr>
                      <w:rFonts w:hint="eastAsia"/>
                    </w:rPr>
                    <w:t>基本要求</w:t>
                  </w:r>
                </w:p>
              </w:tc>
              <w:tc>
                <w:tcPr>
                  <w:tcW w:w="1162" w:type="dxa"/>
                  <w:vAlign w:val="top"/>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551" w:type="dxa"/>
                  <w:vAlign w:val="center"/>
                </w:tcPr>
                <w:p>
                  <w:pPr>
                    <w:jc w:val="center"/>
                    <w:rPr>
                      <w:color w:val="000000"/>
                    </w:rPr>
                  </w:pPr>
                  <w:r>
                    <w:rPr>
                      <w:color w:val="000000"/>
                    </w:rPr>
                    <w:t>健康心理</w:t>
                  </w:r>
                  <w:r>
                    <w:rPr>
                      <w:rFonts w:hint="eastAsia"/>
                      <w:color w:val="000000"/>
                    </w:rPr>
                    <w:t>概要</w:t>
                  </w:r>
                  <w:r>
                    <w:rPr>
                      <w:color w:val="000000"/>
                    </w:rPr>
                    <w:t xml:space="preserve"> </w:t>
                  </w:r>
                </w:p>
              </w:tc>
              <w:tc>
                <w:tcPr>
                  <w:tcW w:w="931" w:type="dxa"/>
                  <w:vAlign w:val="center"/>
                </w:tcPr>
                <w:p>
                  <w:pPr>
                    <w:jc w:val="center"/>
                    <w:rPr>
                      <w:color w:val="000000"/>
                    </w:rPr>
                  </w:pPr>
                  <w:r>
                    <w:rPr>
                      <w:rFonts w:hint="eastAsia"/>
                      <w:color w:val="000000"/>
                    </w:rPr>
                    <w:t>4</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551" w:type="dxa"/>
                  <w:vAlign w:val="center"/>
                </w:tcPr>
                <w:p>
                  <w:pPr>
                    <w:jc w:val="center"/>
                    <w:rPr>
                      <w:rFonts w:hint="eastAsia" w:eastAsia="宋体"/>
                      <w:color w:val="000000"/>
                      <w:lang w:eastAsia="zh-CN"/>
                    </w:rPr>
                  </w:pPr>
                  <w:r>
                    <w:rPr>
                      <w:rFonts w:hint="eastAsia"/>
                      <w:color w:val="000000"/>
                      <w:lang w:eastAsia="zh-CN"/>
                    </w:rPr>
                    <w:t>了解自己</w:t>
                  </w:r>
                </w:p>
              </w:tc>
              <w:tc>
                <w:tcPr>
                  <w:tcW w:w="931" w:type="dxa"/>
                  <w:vAlign w:val="center"/>
                </w:tcPr>
                <w:p>
                  <w:pPr>
                    <w:jc w:val="center"/>
                    <w:rPr>
                      <w:color w:val="000000"/>
                    </w:rPr>
                  </w:pPr>
                  <w:r>
                    <w:rPr>
                      <w:rFonts w:hint="eastAsia"/>
                      <w:color w:val="000000"/>
                      <w:lang w:val="en-US" w:eastAsia="zh-CN"/>
                    </w:rPr>
                    <w:t>12</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r>
                    <w:rPr>
                      <w:rFonts w:hint="eastAsia"/>
                      <w:color w:val="000000"/>
                    </w:rPr>
                    <w:t>提交课程心得</w:t>
                  </w: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551" w:type="dxa"/>
                  <w:vAlign w:val="center"/>
                </w:tcPr>
                <w:p>
                  <w:pPr>
                    <w:jc w:val="center"/>
                    <w:rPr>
                      <w:color w:val="000000"/>
                    </w:rPr>
                  </w:pPr>
                  <w:r>
                    <w:rPr>
                      <w:rFonts w:hint="eastAsia"/>
                      <w:color w:val="000000"/>
                    </w:rPr>
                    <w:t>抗挫力培养</w:t>
                  </w:r>
                  <w:r>
                    <w:rPr>
                      <w:color w:val="000000"/>
                    </w:rPr>
                    <w:t xml:space="preserve"> </w:t>
                  </w:r>
                </w:p>
              </w:tc>
              <w:tc>
                <w:tcPr>
                  <w:tcW w:w="931" w:type="dxa"/>
                  <w:vAlign w:val="center"/>
                </w:tcPr>
                <w:p>
                  <w:pPr>
                    <w:jc w:val="center"/>
                    <w:rPr>
                      <w:color w:val="000000"/>
                    </w:rPr>
                  </w:pPr>
                  <w:r>
                    <w:rPr>
                      <w:rFonts w:hint="eastAsia"/>
                      <w:color w:val="000000"/>
                    </w:rPr>
                    <w:t>4</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51" w:type="dxa"/>
                  <w:vAlign w:val="center"/>
                </w:tcPr>
                <w:p>
                  <w:pPr>
                    <w:jc w:val="center"/>
                    <w:rPr>
                      <w:color w:val="000000"/>
                    </w:rPr>
                  </w:pPr>
                  <w:r>
                    <w:rPr>
                      <w:rFonts w:hint="eastAsia"/>
                      <w:color w:val="000000"/>
                    </w:rPr>
                    <w:t>心理症状识别和预防</w:t>
                  </w:r>
                  <w:r>
                    <w:rPr>
                      <w:color w:val="000000"/>
                    </w:rPr>
                    <w:t xml:space="preserve"> </w:t>
                  </w:r>
                </w:p>
              </w:tc>
              <w:tc>
                <w:tcPr>
                  <w:tcW w:w="931" w:type="dxa"/>
                  <w:vAlign w:val="center"/>
                </w:tcPr>
                <w:p>
                  <w:pPr>
                    <w:jc w:val="center"/>
                    <w:rPr>
                      <w:color w:val="000000"/>
                    </w:rPr>
                  </w:pPr>
                  <w:r>
                    <w:rPr>
                      <w:rFonts w:hint="eastAsia"/>
                      <w:color w:val="000000"/>
                    </w:rPr>
                    <w:t>4</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51" w:type="dxa"/>
                  <w:vAlign w:val="center"/>
                </w:tcPr>
                <w:p>
                  <w:pPr>
                    <w:jc w:val="center"/>
                    <w:rPr>
                      <w:color w:val="000000"/>
                    </w:rPr>
                  </w:pPr>
                  <w:r>
                    <w:rPr>
                      <w:rFonts w:ascii="宋体" w:hAnsi="宋体" w:cs="宋体"/>
                      <w:color w:val="000000"/>
                      <w:sz w:val="24"/>
                      <w:szCs w:val="24"/>
                    </w:rPr>
                    <w:t>身心健康调节基本理论</w:t>
                  </w:r>
                </w:p>
              </w:tc>
              <w:tc>
                <w:tcPr>
                  <w:tcW w:w="931" w:type="dxa"/>
                  <w:vAlign w:val="center"/>
                </w:tcPr>
                <w:p>
                  <w:pPr>
                    <w:jc w:val="center"/>
                    <w:rPr>
                      <w:color w:val="000000"/>
                    </w:rPr>
                  </w:pPr>
                  <w:r>
                    <w:rPr>
                      <w:rFonts w:hint="eastAsia"/>
                      <w:color w:val="000000"/>
                    </w:rPr>
                    <w:t>2</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51" w:type="dxa"/>
                  <w:vAlign w:val="center"/>
                </w:tcPr>
                <w:p>
                  <w:pPr>
                    <w:jc w:val="center"/>
                    <w:rPr>
                      <w:rFonts w:ascii="宋体" w:hAnsi="宋体" w:cs="宋体"/>
                      <w:color w:val="000000"/>
                      <w:sz w:val="24"/>
                      <w:szCs w:val="24"/>
                    </w:rPr>
                  </w:pPr>
                  <w:r>
                    <w:rPr>
                      <w:rFonts w:ascii="宋体" w:hAnsi="宋体" w:cs="宋体"/>
                      <w:color w:val="000000"/>
                      <w:sz w:val="24"/>
                      <w:szCs w:val="24"/>
                    </w:rPr>
                    <w:t>身心健康调节</w:t>
                  </w:r>
                  <w:r>
                    <w:rPr>
                      <w:rFonts w:hint="eastAsia" w:ascii="宋体" w:hAnsi="宋体" w:cs="宋体"/>
                      <w:color w:val="000000"/>
                      <w:sz w:val="24"/>
                      <w:szCs w:val="24"/>
                    </w:rPr>
                    <w:t>的技术+考试</w:t>
                  </w:r>
                </w:p>
              </w:tc>
              <w:tc>
                <w:tcPr>
                  <w:tcW w:w="931" w:type="dxa"/>
                  <w:vAlign w:val="center"/>
                </w:tcPr>
                <w:p>
                  <w:pPr>
                    <w:jc w:val="center"/>
                    <w:rPr>
                      <w:color w:val="000000"/>
                    </w:rPr>
                  </w:pPr>
                  <w:r>
                    <w:rPr>
                      <w:rFonts w:hint="eastAsia"/>
                      <w:color w:val="000000"/>
                    </w:rPr>
                    <w:t>6</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985" w:type="dxa"/>
            <w:vAlign w:val="center"/>
          </w:tcPr>
          <w:p>
            <w:pPr>
              <w:jc w:val="center"/>
            </w:pPr>
            <w:r>
              <w:rPr>
                <w:rFonts w:hint="eastAsia"/>
              </w:rPr>
              <w:t>*考核方式</w:t>
            </w:r>
          </w:p>
          <w:p>
            <w:pPr>
              <w:jc w:val="center"/>
            </w:pPr>
            <w:r>
              <w:rPr>
                <w:rFonts w:hint="eastAsia"/>
              </w:rPr>
              <w:t>(Grading)</w:t>
            </w:r>
          </w:p>
        </w:tc>
        <w:tc>
          <w:tcPr>
            <w:tcW w:w="7939" w:type="dxa"/>
            <w:gridSpan w:val="7"/>
            <w:vAlign w:val="center"/>
          </w:tcPr>
          <w:p>
            <w:pPr>
              <w:ind w:firstLine="210" w:firstLineChars="100"/>
              <w:jc w:val="center"/>
            </w:pPr>
            <w:r>
              <w:rPr>
                <w:rFonts w:hint="eastAsia"/>
              </w:rPr>
              <w:t>期末</w:t>
            </w:r>
            <w:r>
              <w:t>考试+平时</w:t>
            </w:r>
            <w:r>
              <w:rPr>
                <w:rFonts w:hint="eastAsia"/>
              </w:rPr>
              <w:t>成绩</w:t>
            </w:r>
            <w:r>
              <w:t>（</w:t>
            </w:r>
            <w:r>
              <w:rPr>
                <w:rFonts w:hint="eastAsia"/>
              </w:rPr>
              <w:t>出勤</w:t>
            </w:r>
            <w: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985" w:type="dxa"/>
            <w:vAlign w:val="center"/>
          </w:tcPr>
          <w:p>
            <w:pPr>
              <w:jc w:val="center"/>
            </w:pPr>
            <w:r>
              <w:rPr>
                <w:rFonts w:hint="eastAsia"/>
                <w:color w:val="C00000"/>
              </w:rPr>
              <w:t>*</w:t>
            </w:r>
            <w:r>
              <w:rPr>
                <w:rFonts w:hint="eastAsia"/>
              </w:rPr>
              <w:t>教材或参考资料</w:t>
            </w:r>
          </w:p>
          <w:p>
            <w:pPr>
              <w:jc w:val="center"/>
            </w:pPr>
            <w:r>
              <w:rPr>
                <w:rFonts w:hint="eastAsia"/>
              </w:rPr>
              <w:t>(Textbooks &amp; Other Materials)</w:t>
            </w:r>
          </w:p>
        </w:tc>
        <w:tc>
          <w:tcPr>
            <w:tcW w:w="7939" w:type="dxa"/>
            <w:gridSpan w:val="7"/>
            <w:vAlign w:val="center"/>
          </w:tcPr>
          <w:p>
            <w:pPr>
              <w:jc w:val="left"/>
            </w:pPr>
            <w:r>
              <w:t xml:space="preserve">健康心理学 (美)萨拉裴诺著 胡佩诚等译 中国轻工业出版社 </w:t>
            </w:r>
          </w:p>
          <w:p>
            <w:pPr>
              <w:jc w:val="left"/>
            </w:pPr>
            <w:r>
              <w:t xml:space="preserve">人格心理学（第六版）(美)伯格 著 陈会昌 等译　 中国轻工业出版社 </w:t>
            </w:r>
          </w:p>
          <w:p>
            <w:pPr>
              <w:jc w:val="left"/>
            </w:pPr>
            <w:r>
              <w:t xml:space="preserve">人生的四大秘密 (英)亚当·杰克逊著 周思芸译 二十一世纪出版社 </w:t>
            </w:r>
          </w:p>
          <w:p>
            <w:pPr>
              <w:jc w:val="left"/>
              <w:rPr>
                <w:rFonts w:hint="eastAsia"/>
              </w:rPr>
            </w:pPr>
            <w:r>
              <w:t xml:space="preserve">幸福之路 (英)罗素 著 吴默明 金剑译 中央编译出版社 </w:t>
            </w:r>
          </w:p>
          <w:p>
            <w:pPr>
              <w:jc w:val="left"/>
            </w:pPr>
            <w:r>
              <w:rPr>
                <w:rFonts w:hint="eastAsia"/>
              </w:rPr>
              <w:t>亲密关系</w:t>
            </w:r>
            <w:r>
              <w:t>(美)罗兰·米勒</w:t>
            </w:r>
            <w:r>
              <w:rPr>
                <w:rFonts w:hint="eastAsia"/>
              </w:rPr>
              <w:t>等，</w:t>
            </w:r>
            <w:r>
              <w:t>人民邮电出版社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1985" w:type="dxa"/>
            <w:vAlign w:val="center"/>
          </w:tcPr>
          <w:p>
            <w:pPr>
              <w:jc w:val="center"/>
            </w:pPr>
            <w:r>
              <w:rPr>
                <w:rFonts w:hint="eastAsia"/>
              </w:rPr>
              <w:t>其它</w:t>
            </w:r>
          </w:p>
          <w:p>
            <w:pPr>
              <w:jc w:val="center"/>
            </w:pPr>
            <w:r>
              <w:rPr>
                <w:rFonts w:hint="eastAsia"/>
              </w:rPr>
              <w:t>（More）</w:t>
            </w:r>
          </w:p>
        </w:tc>
        <w:tc>
          <w:tcPr>
            <w:tcW w:w="7939" w:type="dxa"/>
            <w:gridSpan w:val="7"/>
            <w:vAlign w:val="center"/>
          </w:tcPr>
          <w:p>
            <w:pPr>
              <w:jc w:val="center"/>
              <w:rPr>
                <w:color w:val="00B050"/>
              </w:rP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1985" w:type="dxa"/>
            <w:vAlign w:val="center"/>
          </w:tcPr>
          <w:p>
            <w:pPr>
              <w:jc w:val="center"/>
            </w:pPr>
            <w:r>
              <w:rPr>
                <w:rFonts w:hint="eastAsia"/>
              </w:rPr>
              <w:t>备注</w:t>
            </w:r>
          </w:p>
          <w:p>
            <w:pPr>
              <w:jc w:val="center"/>
            </w:pPr>
            <w:r>
              <w:rPr>
                <w:rFonts w:hint="eastAsia"/>
              </w:rPr>
              <w:t>（Notes）</w:t>
            </w:r>
          </w:p>
        </w:tc>
        <w:tc>
          <w:tcPr>
            <w:tcW w:w="7939" w:type="dxa"/>
            <w:gridSpan w:val="7"/>
            <w:vAlign w:val="center"/>
          </w:tcPr>
          <w:p>
            <w:pPr>
              <w:jc w:val="center"/>
              <w:rPr>
                <w:color w:val="00B050"/>
              </w:rPr>
            </w:pPr>
            <w:r>
              <w:rPr>
                <w:rFonts w:hint="eastAsia"/>
              </w:rPr>
              <w:t>无</w:t>
            </w:r>
          </w:p>
        </w:tc>
      </w:tr>
    </w:tbl>
    <w:p>
      <w:pPr>
        <w:spacing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eteo">
    <w:altName w:val="Courier New"/>
    <w:panose1 w:val="00000000000000000000"/>
    <w:charset w:val="00"/>
    <w:family w:val="auto"/>
    <w:pitch w:val="default"/>
    <w:sig w:usb0="00000000" w:usb1="00000000" w:usb2="00000000" w:usb3="00000000" w:csb0="000001FF"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Tekton Pro">
    <w:panose1 w:val="020F0603020208020904"/>
    <w:charset w:val="00"/>
    <w:family w:val="auto"/>
    <w:pitch w:val="default"/>
    <w:sig w:usb0="00000007" w:usb1="00000001" w:usb2="00000000" w:usb3="00000000" w:csb0="2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val="en-US" w:eastAsia="zh-CN"/>
      </w:rPr>
    </w:pPr>
    <w:r>
      <w:rPr>
        <w:rFonts w:hint="eastAsia"/>
        <w:lang w:val="en-US" w:eastAsia="zh-CN"/>
      </w:rPr>
      <w:t>2018夏季学期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366C"/>
    <w:rsid w:val="000B4F6B"/>
    <w:rsid w:val="000B5B61"/>
    <w:rsid w:val="000C4BA4"/>
    <w:rsid w:val="00124F58"/>
    <w:rsid w:val="00133ABB"/>
    <w:rsid w:val="001473BE"/>
    <w:rsid w:val="00152B75"/>
    <w:rsid w:val="001552DE"/>
    <w:rsid w:val="00160181"/>
    <w:rsid w:val="00181BE7"/>
    <w:rsid w:val="001A4FE4"/>
    <w:rsid w:val="001C7AD8"/>
    <w:rsid w:val="001D0BF5"/>
    <w:rsid w:val="001E73FD"/>
    <w:rsid w:val="001F26D1"/>
    <w:rsid w:val="00207DEF"/>
    <w:rsid w:val="00227A34"/>
    <w:rsid w:val="0026569D"/>
    <w:rsid w:val="0028182B"/>
    <w:rsid w:val="0028463A"/>
    <w:rsid w:val="002A157D"/>
    <w:rsid w:val="002A6549"/>
    <w:rsid w:val="002A7980"/>
    <w:rsid w:val="002B6537"/>
    <w:rsid w:val="003036D4"/>
    <w:rsid w:val="003237D3"/>
    <w:rsid w:val="003409FE"/>
    <w:rsid w:val="00341CDD"/>
    <w:rsid w:val="00366702"/>
    <w:rsid w:val="003715C0"/>
    <w:rsid w:val="00372A65"/>
    <w:rsid w:val="00373E7A"/>
    <w:rsid w:val="00377008"/>
    <w:rsid w:val="003948E3"/>
    <w:rsid w:val="00395246"/>
    <w:rsid w:val="0039570D"/>
    <w:rsid w:val="003C4422"/>
    <w:rsid w:val="003D10F5"/>
    <w:rsid w:val="003E65CC"/>
    <w:rsid w:val="00446816"/>
    <w:rsid w:val="00461685"/>
    <w:rsid w:val="00465E08"/>
    <w:rsid w:val="00474457"/>
    <w:rsid w:val="00487AD7"/>
    <w:rsid w:val="004921CE"/>
    <w:rsid w:val="004C5422"/>
    <w:rsid w:val="004D4153"/>
    <w:rsid w:val="004D62C4"/>
    <w:rsid w:val="004E283B"/>
    <w:rsid w:val="004F7766"/>
    <w:rsid w:val="005031D5"/>
    <w:rsid w:val="00511D50"/>
    <w:rsid w:val="00520B0A"/>
    <w:rsid w:val="005357C0"/>
    <w:rsid w:val="00565461"/>
    <w:rsid w:val="00577467"/>
    <w:rsid w:val="00577ECF"/>
    <w:rsid w:val="005B52BE"/>
    <w:rsid w:val="005F49AB"/>
    <w:rsid w:val="0061590F"/>
    <w:rsid w:val="00640401"/>
    <w:rsid w:val="00656964"/>
    <w:rsid w:val="00663B60"/>
    <w:rsid w:val="00686943"/>
    <w:rsid w:val="006A13AE"/>
    <w:rsid w:val="006D3645"/>
    <w:rsid w:val="006F1849"/>
    <w:rsid w:val="006F49C1"/>
    <w:rsid w:val="00707583"/>
    <w:rsid w:val="00733E57"/>
    <w:rsid w:val="0074127F"/>
    <w:rsid w:val="00780CAB"/>
    <w:rsid w:val="00784A11"/>
    <w:rsid w:val="00795F2D"/>
    <w:rsid w:val="007A19E1"/>
    <w:rsid w:val="007C584F"/>
    <w:rsid w:val="007D4099"/>
    <w:rsid w:val="007D5FF6"/>
    <w:rsid w:val="007E4B77"/>
    <w:rsid w:val="007F7685"/>
    <w:rsid w:val="008158EA"/>
    <w:rsid w:val="00822D3C"/>
    <w:rsid w:val="00823ACC"/>
    <w:rsid w:val="00825C1B"/>
    <w:rsid w:val="00857453"/>
    <w:rsid w:val="00890F38"/>
    <w:rsid w:val="008954B7"/>
    <w:rsid w:val="008A7203"/>
    <w:rsid w:val="008F6FCC"/>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07670"/>
    <w:rsid w:val="00A3078F"/>
    <w:rsid w:val="00A37564"/>
    <w:rsid w:val="00A54CA9"/>
    <w:rsid w:val="00A61B1F"/>
    <w:rsid w:val="00A82FF4"/>
    <w:rsid w:val="00A960D0"/>
    <w:rsid w:val="00AC1B9C"/>
    <w:rsid w:val="00AC5156"/>
    <w:rsid w:val="00AD0114"/>
    <w:rsid w:val="00AD3765"/>
    <w:rsid w:val="00AD7DBD"/>
    <w:rsid w:val="00AD7E02"/>
    <w:rsid w:val="00AE6C69"/>
    <w:rsid w:val="00B05FFC"/>
    <w:rsid w:val="00B10595"/>
    <w:rsid w:val="00B20254"/>
    <w:rsid w:val="00B328AD"/>
    <w:rsid w:val="00B41900"/>
    <w:rsid w:val="00B727EB"/>
    <w:rsid w:val="00B74383"/>
    <w:rsid w:val="00B970D8"/>
    <w:rsid w:val="00BE022B"/>
    <w:rsid w:val="00C040DE"/>
    <w:rsid w:val="00C46B87"/>
    <w:rsid w:val="00C73038"/>
    <w:rsid w:val="00C80B94"/>
    <w:rsid w:val="00C85828"/>
    <w:rsid w:val="00C90DFD"/>
    <w:rsid w:val="00CB685A"/>
    <w:rsid w:val="00CF32A8"/>
    <w:rsid w:val="00CF7312"/>
    <w:rsid w:val="00D001E1"/>
    <w:rsid w:val="00D130CC"/>
    <w:rsid w:val="00D1758F"/>
    <w:rsid w:val="00D23BC7"/>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90402"/>
    <w:rsid w:val="00E953DB"/>
    <w:rsid w:val="00EA259D"/>
    <w:rsid w:val="00EB20C0"/>
    <w:rsid w:val="00EC1070"/>
    <w:rsid w:val="00ED2940"/>
    <w:rsid w:val="00ED30B5"/>
    <w:rsid w:val="00F05C54"/>
    <w:rsid w:val="00F262EB"/>
    <w:rsid w:val="00F6494E"/>
    <w:rsid w:val="00F746B7"/>
    <w:rsid w:val="00FC687D"/>
    <w:rsid w:val="00FE20EB"/>
    <w:rsid w:val="00FE4D40"/>
    <w:rsid w:val="04DC5C16"/>
    <w:rsid w:val="14182DCC"/>
    <w:rsid w:val="17062924"/>
    <w:rsid w:val="2D4F3931"/>
    <w:rsid w:val="2DAF2F02"/>
    <w:rsid w:val="41461837"/>
    <w:rsid w:val="53FE5B05"/>
    <w:rsid w:val="69D87652"/>
    <w:rsid w:val="6C274D1C"/>
    <w:rsid w:val="73DB3A20"/>
    <w:rsid w:val="7F663E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16"/>
    <w:unhideWhenUsed/>
    <w:qFormat/>
    <w:uiPriority w:val="99"/>
    <w:pPr>
      <w:tabs>
        <w:tab w:val="center" w:pos="4153"/>
        <w:tab w:val="right" w:pos="8306"/>
      </w:tabs>
      <w:snapToGrid w:val="0"/>
      <w:jc w:val="left"/>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22"/>
    <w:rPr>
      <w:b/>
      <w:bCs/>
    </w:rPr>
  </w:style>
  <w:style w:type="character" w:styleId="8">
    <w:name w:val="FollowedHyperlink"/>
    <w:basedOn w:val="6"/>
    <w:unhideWhenUsed/>
    <w:qFormat/>
    <w:uiPriority w:val="99"/>
    <w:rPr>
      <w:color w:val="800080"/>
      <w:u w:val="single"/>
    </w:rPr>
  </w:style>
  <w:style w:type="character" w:styleId="9">
    <w:name w:val="Hyperlink"/>
    <w:basedOn w:val="6"/>
    <w:unhideWhenUsed/>
    <w:qFormat/>
    <w:uiPriority w:val="99"/>
    <w:rPr>
      <w:color w:val="0000FF"/>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列出段落1"/>
    <w:basedOn w:val="1"/>
    <w:qFormat/>
    <w:uiPriority w:val="34"/>
    <w:pPr>
      <w:ind w:firstLine="420" w:firstLineChars="200"/>
    </w:pPr>
  </w:style>
  <w:style w:type="paragraph" w:customStyle="1" w:styleId="13">
    <w:name w:val="样式2"/>
    <w:basedOn w:val="1"/>
    <w:qFormat/>
    <w:uiPriority w:val="0"/>
    <w:rPr>
      <w:rFonts w:ascii="宋体" w:hAnsi="宋体" w:cs="Symeteo"/>
      <w:bCs/>
      <w:color w:val="FF0000"/>
      <w:sz w:val="24"/>
      <w:szCs w:val="24"/>
    </w:rPr>
  </w:style>
  <w:style w:type="character" w:customStyle="1" w:styleId="14">
    <w:name w:val="批注框文本 Char"/>
    <w:basedOn w:val="6"/>
    <w:link w:val="2"/>
    <w:semiHidden/>
    <w:qFormat/>
    <w:uiPriority w:val="99"/>
    <w:rPr>
      <w:sz w:val="18"/>
      <w:szCs w:val="18"/>
    </w:rPr>
  </w:style>
  <w:style w:type="character" w:customStyle="1" w:styleId="15">
    <w:name w:val="页眉 Char"/>
    <w:basedOn w:val="6"/>
    <w:link w:val="4"/>
    <w:qFormat/>
    <w:uiPriority w:val="99"/>
    <w:rPr>
      <w:sz w:val="18"/>
      <w:szCs w:val="18"/>
    </w:rPr>
  </w:style>
  <w:style w:type="character" w:customStyle="1" w:styleId="16">
    <w:name w:val="页脚 Char"/>
    <w:basedOn w:val="6"/>
    <w:link w:val="3"/>
    <w:qFormat/>
    <w:uiPriority w:val="99"/>
    <w:rPr>
      <w:sz w:val="18"/>
      <w:szCs w:val="18"/>
    </w:rPr>
  </w:style>
  <w:style w:type="character" w:customStyle="1" w:styleId="17">
    <w:name w:val="copied"/>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1437</Words>
  <Characters>1467</Characters>
  <Lines>56</Lines>
  <Paragraphs>54</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2015-01-13T02:57:00Z</dcterms:created>
  <dc:creator>xiqiang yang</dc:creator>
  <cp:lastModifiedBy>user</cp:lastModifiedBy>
  <cp:lastPrinted>2017-11-27T01:46:00Z</cp:lastPrinted>
  <dcterms:modified xsi:type="dcterms:W3CDTF">2017-11-27T06:38:18Z</dcterms:modified>
  <dc:title>《大学生健康心理学》课程教学大纲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