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251246" w:rsidP="00A724E5">
            <w:pPr>
              <w:jc w:val="center"/>
            </w:pPr>
            <w:r>
              <w:rPr>
                <w:rFonts w:hint="eastAsia"/>
              </w:rPr>
              <w:t>3</w:t>
            </w:r>
            <w:r>
              <w:t>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3B676C" w:rsidRDefault="00251246" w:rsidP="00A724E5">
            <w:r w:rsidRPr="003B676C">
              <w:rPr>
                <w:rFonts w:hint="eastAsia"/>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251246" w:rsidRPr="009F4CFF">
              <w:rPr>
                <w:rFonts w:hint="eastAsia"/>
              </w:rPr>
              <w:t>西洋文学经典导读：古典到启蒙时期</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251246" w:rsidRPr="009F4CFF">
              <w:t>Classics of Western Literature: Antiquity to Enlightenment</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3B676C" w:rsidRDefault="003B676C" w:rsidP="00823ACC">
            <w:pPr>
              <w:jc w:val="center"/>
            </w:pPr>
            <w:r w:rsidRPr="003B676C">
              <w:rPr>
                <w:rFonts w:hint="eastAsia"/>
              </w:rPr>
              <w:t>海外学者课程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3B676C" w:rsidP="003B676C">
            <w:pPr>
              <w:jc w:val="center"/>
            </w:pPr>
            <w:r>
              <w:rPr>
                <w:rFonts w:hint="eastAsia"/>
              </w:rPr>
              <w:t>全校学生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251246" w:rsidP="00251246">
            <w:pPr>
              <w:jc w:val="center"/>
            </w:pPr>
            <w:r>
              <w:rPr>
                <w:rFonts w:hint="eastAsia"/>
              </w:rPr>
              <w:t>英语</w:t>
            </w:r>
            <w:bookmarkStart w:id="0" w:name="_GoBack"/>
            <w:bookmarkEnd w:id="0"/>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251246" w:rsidP="007C626D">
            <w:pPr>
              <w:jc w:val="center"/>
            </w:pPr>
            <w:r>
              <w:rPr>
                <w:rFonts w:hint="eastAsia"/>
              </w:rPr>
              <w:t>人文学院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3B676C" w:rsidP="003B676C">
            <w:pPr>
              <w:jc w:val="center"/>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9F4CFF" w:rsidP="009F4CFF">
            <w:pPr>
              <w:jc w:val="center"/>
            </w:pPr>
            <w:r>
              <w:rPr>
                <w:rFonts w:hint="eastAsia"/>
              </w:rPr>
              <w:t>馮</w:t>
            </w:r>
            <w:proofErr w:type="gramStart"/>
            <w:r>
              <w:rPr>
                <w:rFonts w:hint="eastAsia"/>
              </w:rPr>
              <w:t>翰</w:t>
            </w:r>
            <w:proofErr w:type="gramEnd"/>
            <w:r>
              <w:rPr>
                <w:rFonts w:hint="eastAsia"/>
              </w:rPr>
              <w:t>士</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251246" w:rsidRPr="009F4CFF" w:rsidRDefault="009F4CFF" w:rsidP="00251246">
            <w:pPr>
              <w:jc w:val="left"/>
              <w:rPr>
                <w:rFonts w:ascii="仿宋_GB2312" w:eastAsia="PMingLiU" w:hAnsi="宋体"/>
                <w:szCs w:val="21"/>
              </w:rPr>
            </w:pPr>
            <w:r w:rsidRPr="009F4CFF">
              <w:rPr>
                <w:rFonts w:ascii="仿宋_GB2312" w:eastAsia="宋体" w:hAnsi="宋体"/>
                <w:szCs w:val="21"/>
              </w:rPr>
              <w:t>一、研读西洋文明中的文学作品，以了解从古典时期到启蒙运动的文明演变。</w:t>
            </w:r>
          </w:p>
          <w:p w:rsidR="00251246" w:rsidRPr="009F4CFF" w:rsidRDefault="009F4CFF" w:rsidP="00251246">
            <w:pPr>
              <w:jc w:val="left"/>
              <w:rPr>
                <w:rFonts w:ascii="仿宋_GB2312" w:eastAsia="PMingLiU" w:hAnsi="宋体" w:hint="eastAsia"/>
                <w:szCs w:val="21"/>
              </w:rPr>
            </w:pPr>
            <w:r w:rsidRPr="009F4CFF">
              <w:rPr>
                <w:rFonts w:ascii="仿宋_GB2312" w:eastAsia="宋体" w:hAnsi="宋体"/>
                <w:szCs w:val="21"/>
              </w:rPr>
              <w:t>二、了解从古典到启蒙时期的西洋文学之权威性如何形成。</w:t>
            </w:r>
          </w:p>
          <w:p w:rsidR="00251246" w:rsidRPr="009F4CFF" w:rsidRDefault="009F4CFF" w:rsidP="00251246">
            <w:pPr>
              <w:jc w:val="left"/>
              <w:rPr>
                <w:rFonts w:ascii="仿宋_GB2312" w:eastAsia="PMingLiU" w:hAnsi="宋体" w:hint="eastAsia"/>
                <w:szCs w:val="21"/>
              </w:rPr>
            </w:pPr>
            <w:r w:rsidRPr="009F4CFF">
              <w:rPr>
                <w:rFonts w:ascii="仿宋_GB2312" w:eastAsia="宋体" w:hAnsi="宋体"/>
                <w:szCs w:val="21"/>
              </w:rPr>
              <w:t>三、研读不同文体的起源和演变，例如：史语、史书、自传、传奇、戏剧等。</w:t>
            </w:r>
          </w:p>
          <w:p w:rsidR="00251246" w:rsidRPr="009F4CFF" w:rsidRDefault="009F4CFF" w:rsidP="00251246">
            <w:pPr>
              <w:jc w:val="left"/>
              <w:rPr>
                <w:rFonts w:ascii="仿宋_GB2312" w:eastAsia="PMingLiU" w:hAnsi="宋体" w:hint="eastAsia"/>
                <w:szCs w:val="21"/>
              </w:rPr>
            </w:pPr>
            <w:r w:rsidRPr="009F4CFF">
              <w:rPr>
                <w:rFonts w:ascii="仿宋_GB2312" w:eastAsia="宋体" w:hAnsi="宋体"/>
                <w:szCs w:val="21"/>
              </w:rPr>
              <w:t>四、了解重要文学权威的共识如何形成。</w:t>
            </w:r>
          </w:p>
          <w:p w:rsidR="001D0BF5" w:rsidRPr="001D0BF5" w:rsidRDefault="009F4CFF" w:rsidP="00251246">
            <w:r w:rsidRPr="009F4CFF">
              <w:rPr>
                <w:rFonts w:ascii="仿宋_GB2312" w:eastAsia="宋体" w:hAnsi="宋体"/>
                <w:szCs w:val="21"/>
              </w:rPr>
              <w:t>五、比较西洋文学和中国、亚洲文学的不同发展轨道，培养学生具体文学比较、跨学科的东西文学观。</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9F4CFF" w:rsidP="00686943">
            <w:pPr>
              <w:jc w:val="left"/>
            </w:pPr>
            <w:r>
              <w:rPr>
                <w:color w:val="45555F"/>
                <w:szCs w:val="21"/>
              </w:rPr>
              <w:t xml:space="preserve">This course introduces students to the greatest writers and masterpieces of Western literature from Antiquity to the age of the Enlightenment. To achieve this goal, it covers a variety of genres, including myth, epics, history, biography, essays, fiction, plays, and poems, and proceeds chronologically from the origins of Western literature in the Ancient Mediterranean and Near East to the Middle Ages, Renaissance, and Enlightenment. </w:t>
            </w:r>
            <w:r>
              <w:rPr>
                <w:color w:val="000000"/>
                <w:kern w:val="0"/>
                <w:szCs w:val="21"/>
                <w:lang w:eastAsia="zh-TW"/>
              </w:rPr>
              <w:t>S</w:t>
            </w:r>
            <w:r>
              <w:rPr>
                <w:szCs w:val="21"/>
              </w:rPr>
              <w:t xml:space="preserve">tudents read the texts in English and </w:t>
            </w:r>
            <w:r>
              <w:rPr>
                <w:color w:val="45555F"/>
                <w:szCs w:val="21"/>
              </w:rPr>
              <w:t xml:space="preserve">study the most influential texts in the Western literary canon. </w:t>
            </w:r>
            <w:r>
              <w:rPr>
                <w:rFonts w:eastAsia="Times New Roman"/>
                <w:color w:val="45555F"/>
                <w:kern w:val="0"/>
                <w:szCs w:val="21"/>
                <w:shd w:val="clear" w:color="auto" w:fill="FFFFFF"/>
                <w:lang w:eastAsia="zh-TW"/>
              </w:rPr>
              <w:t>In doing so, they examine how the concept of “West” and “Western” has evolved over time and how the definition of what constitutes “literature” was revised continually in the context of different civilizations: Greek and Roman civilizations, Judeo-Christian civilization, the Middle Ages, Renaissance, the Enlightenment and Neoclassicism. Students also discover that, while Western literature involves many different peoples, nations, and societies, and has undergone many changes over the centuries, there are interesting connections and continuities between the great authors and major national literatures within the Western world.</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9F4CFF" w:rsidRDefault="009F4CFF" w:rsidP="009F4CFF">
            <w:pPr>
              <w:jc w:val="left"/>
              <w:rPr>
                <w:rFonts w:ascii="仿宋_GB2312" w:eastAsia="仿宋_GB2312" w:hAnsi="宋体"/>
                <w:sz w:val="24"/>
              </w:rPr>
            </w:pPr>
            <w:r>
              <w:rPr>
                <w:color w:val="262626"/>
                <w:kern w:val="0"/>
                <w:szCs w:val="21"/>
              </w:rPr>
              <w:t>1. Study the history of Western civilization through its literature and examine how the concept of the West has evolved over the centuries.</w:t>
            </w:r>
          </w:p>
          <w:p w:rsidR="009F4CFF" w:rsidRDefault="009F4CFF" w:rsidP="009F4CFF">
            <w:pPr>
              <w:jc w:val="left"/>
              <w:rPr>
                <w:rFonts w:ascii="Times New Roman" w:eastAsia="宋体" w:hAnsi="Times New Roman" w:hint="eastAsia"/>
                <w:color w:val="262626"/>
                <w:kern w:val="0"/>
                <w:szCs w:val="21"/>
              </w:rPr>
            </w:pPr>
            <w:r>
              <w:rPr>
                <w:color w:val="262626"/>
                <w:kern w:val="0"/>
                <w:szCs w:val="21"/>
              </w:rPr>
              <w:t>2. Acquire a good understanding of canonical Western literature from antiquity to the eighteenth century.</w:t>
            </w:r>
          </w:p>
          <w:p w:rsidR="009F4CFF" w:rsidRDefault="009F4CFF" w:rsidP="009F4CFF">
            <w:pPr>
              <w:jc w:val="left"/>
              <w:rPr>
                <w:color w:val="262626"/>
                <w:kern w:val="0"/>
                <w:szCs w:val="21"/>
              </w:rPr>
            </w:pPr>
            <w:r>
              <w:rPr>
                <w:color w:val="262626"/>
                <w:kern w:val="0"/>
                <w:szCs w:val="21"/>
              </w:rPr>
              <w:t>3. Study the origin and development of important literary genres such as the epic, history writing, biography, fiction, drama, and so forth.</w:t>
            </w:r>
          </w:p>
          <w:p w:rsidR="009F4CFF" w:rsidRDefault="009F4CFF" w:rsidP="009F4CFF">
            <w:pPr>
              <w:jc w:val="left"/>
              <w:rPr>
                <w:rFonts w:ascii="MS Mincho" w:eastAsia="MS Mincho" w:hAnsi="MS Mincho" w:cs="MS Mincho"/>
                <w:color w:val="000000"/>
                <w:kern w:val="0"/>
                <w:szCs w:val="21"/>
              </w:rPr>
            </w:pPr>
            <w:r>
              <w:rPr>
                <w:color w:val="262626"/>
                <w:kern w:val="0"/>
                <w:szCs w:val="21"/>
              </w:rPr>
              <w:t>4. Consider how the notion of the canon, that is the consensus of the most important and influential writings, changes over time.</w:t>
            </w:r>
          </w:p>
          <w:p w:rsidR="00A16565" w:rsidRPr="00A16565" w:rsidRDefault="009F4CFF" w:rsidP="009F4CFF">
            <w:pPr>
              <w:jc w:val="left"/>
            </w:pPr>
            <w:r>
              <w:rPr>
                <w:rFonts w:eastAsia="MS Mincho"/>
                <w:color w:val="000000"/>
                <w:kern w:val="0"/>
                <w:szCs w:val="21"/>
              </w:rPr>
              <w:t xml:space="preserve">5. </w:t>
            </w:r>
            <w:r>
              <w:rPr>
                <w:color w:val="262626"/>
                <w:kern w:val="0"/>
                <w:szCs w:val="21"/>
              </w:rPr>
              <w:t xml:space="preserve">Reflect on the ways in which Western literature differs from Chinese/Asian literature and develop new comparative, critical or interdisciplinary approaches with an East-West perspective. </w:t>
            </w:r>
            <w:r>
              <w:rPr>
                <w:rFonts w:ascii="MS Mincho" w:eastAsia="MS Mincho" w:hAnsi="MS Mincho" w:cs="MS Mincho" w:hint="eastAsia"/>
                <w:color w:val="000000"/>
                <w:kern w:val="0"/>
                <w:szCs w:val="21"/>
              </w:rPr>
              <w:t> </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9F4CFF" w:rsidP="00686943">
                  <w:pPr>
                    <w:jc w:val="center"/>
                  </w:pPr>
                  <w:r>
                    <w:rPr>
                      <w:rFonts w:eastAsia="仿宋_GB2312"/>
                      <w:i/>
                      <w:szCs w:val="21"/>
                    </w:rPr>
                    <w:t>The Epic of Gilgamesh</w:t>
                  </w:r>
                </w:p>
              </w:tc>
              <w:tc>
                <w:tcPr>
                  <w:tcW w:w="816" w:type="dxa"/>
                  <w:vAlign w:val="center"/>
                </w:tcPr>
                <w:p w:rsidR="000A548F" w:rsidRPr="001D0BF5" w:rsidRDefault="000A548F" w:rsidP="00686943">
                  <w:pPr>
                    <w:jc w:val="center"/>
                  </w:pPr>
                </w:p>
              </w:tc>
              <w:tc>
                <w:tcPr>
                  <w:tcW w:w="1334" w:type="dxa"/>
                  <w:vAlign w:val="center"/>
                </w:tcPr>
                <w:p w:rsidR="000A548F" w:rsidRPr="001D0BF5" w:rsidRDefault="003B676C" w:rsidP="00686943">
                  <w:pPr>
                    <w:jc w:val="center"/>
                  </w:pPr>
                  <w:r>
                    <w:rPr>
                      <w:rFonts w:hint="eastAsia"/>
                    </w:rPr>
                    <w:t>L</w:t>
                  </w:r>
                  <w:r>
                    <w:t>ecture</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9F4CFF" w:rsidRDefault="009F4CFF" w:rsidP="009F4CFF">
                  <w:pPr>
                    <w:jc w:val="left"/>
                    <w:rPr>
                      <w:rFonts w:eastAsia="仿宋_GB2312"/>
                      <w:szCs w:val="21"/>
                    </w:rPr>
                  </w:pPr>
                  <w:r>
                    <w:rPr>
                      <w:rFonts w:eastAsia="仿宋_GB2312"/>
                      <w:szCs w:val="21"/>
                    </w:rPr>
                    <w:t xml:space="preserve">The Bible as Literature: Extracts from </w:t>
                  </w:r>
                  <w:r>
                    <w:rPr>
                      <w:rFonts w:eastAsia="仿宋_GB2312"/>
                      <w:i/>
                      <w:szCs w:val="21"/>
                    </w:rPr>
                    <w:t>The Book of Genesis</w:t>
                  </w:r>
                  <w:r>
                    <w:rPr>
                      <w:rFonts w:eastAsia="仿宋_GB2312"/>
                      <w:szCs w:val="21"/>
                    </w:rPr>
                    <w:t xml:space="preserve"> (The Creation of Mankind, Noah and </w:t>
                  </w:r>
                </w:p>
                <w:p w:rsidR="00686943" w:rsidRPr="001D0BF5" w:rsidRDefault="009F4CFF" w:rsidP="009F4CFF">
                  <w:pPr>
                    <w:jc w:val="center"/>
                  </w:pPr>
                  <w:r>
                    <w:rPr>
                      <w:rFonts w:eastAsia="仿宋_GB2312"/>
                      <w:szCs w:val="21"/>
                    </w:rPr>
                    <w:t xml:space="preserve">  the Flood, The Tower of Babel)</w:t>
                  </w:r>
                </w:p>
              </w:tc>
              <w:tc>
                <w:tcPr>
                  <w:tcW w:w="816" w:type="dxa"/>
                  <w:vAlign w:val="center"/>
                </w:tcPr>
                <w:p w:rsidR="00686943" w:rsidRPr="001D0BF5" w:rsidRDefault="009F4CFF" w:rsidP="00686943">
                  <w:pPr>
                    <w:jc w:val="center"/>
                  </w:pPr>
                  <w:r>
                    <w:rPr>
                      <w:rFonts w:hint="eastAsia"/>
                    </w:rPr>
                    <w:t>2</w:t>
                  </w:r>
                </w:p>
              </w:tc>
              <w:tc>
                <w:tcPr>
                  <w:tcW w:w="1334" w:type="dxa"/>
                  <w:vAlign w:val="center"/>
                </w:tcPr>
                <w:p w:rsidR="00686943" w:rsidRPr="001D0BF5" w:rsidRDefault="003B676C" w:rsidP="00686943">
                  <w:pPr>
                    <w:jc w:val="center"/>
                  </w:pPr>
                  <w:r>
                    <w:rPr>
                      <w:rFonts w:hint="eastAsia"/>
                    </w:rPr>
                    <w:t>L</w:t>
                  </w:r>
                  <w:r>
                    <w:t>ectures and Discussion</w:t>
                  </w:r>
                </w:p>
              </w:tc>
              <w:tc>
                <w:tcPr>
                  <w:tcW w:w="1355" w:type="dxa"/>
                  <w:vAlign w:val="center"/>
                </w:tcPr>
                <w:p w:rsidR="00686943" w:rsidRPr="001D0BF5" w:rsidRDefault="003B676C" w:rsidP="00686943">
                  <w:pPr>
                    <w:jc w:val="center"/>
                  </w:pPr>
                  <w:r>
                    <w:rPr>
                      <w:rFonts w:hint="eastAsia"/>
                    </w:rPr>
                    <w:t>R</w:t>
                  </w:r>
                  <w:r>
                    <w:t>eading and Discussion</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3B676C" w:rsidTr="00784A11">
              <w:trPr>
                <w:trHeight w:val="561"/>
              </w:trPr>
              <w:tc>
                <w:tcPr>
                  <w:tcW w:w="1456" w:type="dxa"/>
                  <w:vAlign w:val="center"/>
                </w:tcPr>
                <w:p w:rsidR="003B676C" w:rsidRDefault="003B676C" w:rsidP="003B676C">
                  <w:pPr>
                    <w:jc w:val="left"/>
                    <w:rPr>
                      <w:rFonts w:eastAsia="仿宋_GB2312"/>
                      <w:szCs w:val="21"/>
                    </w:rPr>
                  </w:pPr>
                  <w:r>
                    <w:rPr>
                      <w:rFonts w:eastAsia="仿宋_GB2312"/>
                      <w:szCs w:val="21"/>
                    </w:rPr>
                    <w:t xml:space="preserve">Homer: </w:t>
                  </w:r>
                  <w:r>
                    <w:rPr>
                      <w:rFonts w:eastAsia="仿宋_GB2312"/>
                      <w:i/>
                      <w:szCs w:val="21"/>
                    </w:rPr>
                    <w:t>The Iliad</w:t>
                  </w:r>
                  <w:r>
                    <w:rPr>
                      <w:rFonts w:eastAsia="仿宋_GB2312"/>
                      <w:szCs w:val="21"/>
                    </w:rPr>
                    <w:t xml:space="preserve"> (Book 1: The Anger of Achilles and The Death of Hector) and </w:t>
                  </w:r>
                  <w:r>
                    <w:rPr>
                      <w:rFonts w:eastAsia="仿宋_GB2312"/>
                      <w:i/>
                      <w:szCs w:val="21"/>
                    </w:rPr>
                    <w:t xml:space="preserve">The </w:t>
                  </w:r>
                  <w:proofErr w:type="spellStart"/>
                  <w:r>
                    <w:rPr>
                      <w:rFonts w:eastAsia="仿宋_GB2312"/>
                      <w:i/>
                      <w:szCs w:val="21"/>
                    </w:rPr>
                    <w:t>Odyssea</w:t>
                  </w:r>
                  <w:proofErr w:type="spellEnd"/>
                </w:p>
                <w:p w:rsidR="003B676C" w:rsidRPr="001D0BF5" w:rsidRDefault="003B676C" w:rsidP="003B676C">
                  <w:pPr>
                    <w:jc w:val="center"/>
                  </w:pPr>
                  <w:r>
                    <w:rPr>
                      <w:rFonts w:eastAsia="仿宋_GB2312"/>
                      <w:szCs w:val="21"/>
                    </w:rPr>
                    <w:t xml:space="preserve">  (Odysseus and The Cyclops)</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54"/>
              </w:trPr>
              <w:tc>
                <w:tcPr>
                  <w:tcW w:w="1456" w:type="dxa"/>
                  <w:vAlign w:val="center"/>
                </w:tcPr>
                <w:p w:rsidR="003B676C" w:rsidRPr="001D0BF5" w:rsidRDefault="003B676C" w:rsidP="003B676C">
                  <w:pPr>
                    <w:jc w:val="center"/>
                  </w:pPr>
                  <w:r>
                    <w:rPr>
                      <w:rFonts w:eastAsia="仿宋_GB2312"/>
                      <w:szCs w:val="21"/>
                    </w:rPr>
                    <w:t xml:space="preserve">Herodotus: </w:t>
                  </w:r>
                  <w:r>
                    <w:rPr>
                      <w:rFonts w:eastAsia="仿宋_GB2312"/>
                      <w:i/>
                      <w:szCs w:val="21"/>
                    </w:rPr>
                    <w:t>Histories</w:t>
                  </w:r>
                  <w:r>
                    <w:rPr>
                      <w:rFonts w:eastAsia="仿宋_GB2312"/>
                      <w:szCs w:val="21"/>
                    </w:rPr>
                    <w:t xml:space="preserve"> (Selections from Book 1)</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48"/>
              </w:trPr>
              <w:tc>
                <w:tcPr>
                  <w:tcW w:w="1456" w:type="dxa"/>
                  <w:vAlign w:val="center"/>
                </w:tcPr>
                <w:p w:rsidR="003B676C" w:rsidRPr="001D0BF5" w:rsidRDefault="003B676C" w:rsidP="003B676C">
                  <w:pPr>
                    <w:jc w:val="center"/>
                  </w:pPr>
                  <w:r>
                    <w:rPr>
                      <w:rFonts w:eastAsia="仿宋_GB2312"/>
                      <w:szCs w:val="21"/>
                    </w:rPr>
                    <w:t xml:space="preserve">Virgil: </w:t>
                  </w:r>
                  <w:r>
                    <w:rPr>
                      <w:rFonts w:eastAsia="仿宋_GB2312"/>
                      <w:i/>
                      <w:szCs w:val="21"/>
                    </w:rPr>
                    <w:t>The Aeneid</w:t>
                  </w:r>
                  <w:r>
                    <w:rPr>
                      <w:rFonts w:eastAsia="仿宋_GB2312"/>
                      <w:szCs w:val="21"/>
                    </w:rPr>
                    <w:t xml:space="preserve"> (Book 4: Dido of </w:t>
                  </w:r>
                  <w:r>
                    <w:rPr>
                      <w:rFonts w:eastAsia="仿宋_GB2312"/>
                      <w:szCs w:val="21"/>
                    </w:rPr>
                    <w:lastRenderedPageBreak/>
                    <w:t>Carthage, and Book 6: Aeneas in the Underworld)</w:t>
                  </w:r>
                </w:p>
              </w:tc>
              <w:tc>
                <w:tcPr>
                  <w:tcW w:w="816" w:type="dxa"/>
                  <w:vAlign w:val="center"/>
                </w:tcPr>
                <w:p w:rsidR="003B676C" w:rsidRPr="001D0BF5" w:rsidRDefault="003B676C" w:rsidP="003B676C">
                  <w:pPr>
                    <w:jc w:val="center"/>
                  </w:pPr>
                  <w:r>
                    <w:rPr>
                      <w:rFonts w:hint="eastAsia"/>
                    </w:rPr>
                    <w:lastRenderedPageBreak/>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70"/>
              </w:trPr>
              <w:tc>
                <w:tcPr>
                  <w:tcW w:w="1456" w:type="dxa"/>
                  <w:vAlign w:val="center"/>
                </w:tcPr>
                <w:p w:rsidR="003B676C" w:rsidRPr="001D0BF5" w:rsidRDefault="003B676C" w:rsidP="003B676C">
                  <w:pPr>
                    <w:jc w:val="center"/>
                  </w:pPr>
                  <w:r>
                    <w:rPr>
                      <w:rFonts w:eastAsia="仿宋_GB2312"/>
                      <w:szCs w:val="21"/>
                    </w:rPr>
                    <w:t>Roman Historians: Extracts from Livy, Tacitus, and Plutarch</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50"/>
              </w:trPr>
              <w:tc>
                <w:tcPr>
                  <w:tcW w:w="1456" w:type="dxa"/>
                  <w:vAlign w:val="center"/>
                </w:tcPr>
                <w:p w:rsidR="003B676C" w:rsidRPr="001D0BF5" w:rsidRDefault="003B676C" w:rsidP="003B676C">
                  <w:pPr>
                    <w:jc w:val="center"/>
                  </w:pPr>
                  <w:r>
                    <w:rPr>
                      <w:rFonts w:eastAsia="仿宋_GB2312"/>
                      <w:i/>
                      <w:szCs w:val="21"/>
                    </w:rPr>
                    <w:t>Beowulf</w:t>
                  </w:r>
                  <w:r>
                    <w:rPr>
                      <w:rFonts w:eastAsia="仿宋_GB2312"/>
                      <w:szCs w:val="21"/>
                    </w:rPr>
                    <w:t>: Beowulf Confronts Grendel; The Death of Beowulf</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58"/>
              </w:trPr>
              <w:tc>
                <w:tcPr>
                  <w:tcW w:w="1456" w:type="dxa"/>
                  <w:vAlign w:val="center"/>
                </w:tcPr>
                <w:p w:rsidR="003B676C" w:rsidRPr="001D0BF5" w:rsidRDefault="003B676C" w:rsidP="003B676C">
                  <w:pPr>
                    <w:jc w:val="center"/>
                  </w:pPr>
                  <w:r>
                    <w:rPr>
                      <w:rFonts w:eastAsia="仿宋_GB2312"/>
                      <w:szCs w:val="21"/>
                    </w:rPr>
                    <w:t>Marie de France: “</w:t>
                  </w:r>
                  <w:proofErr w:type="spellStart"/>
                  <w:r>
                    <w:rPr>
                      <w:rFonts w:eastAsia="仿宋_GB2312"/>
                      <w:szCs w:val="21"/>
                    </w:rPr>
                    <w:t>Bisclavret</w:t>
                  </w:r>
                  <w:proofErr w:type="spellEnd"/>
                  <w:r>
                    <w:rPr>
                      <w:rFonts w:eastAsia="仿宋_GB2312"/>
                      <w:szCs w:val="21"/>
                    </w:rPr>
                    <w:t>”</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52"/>
              </w:trPr>
              <w:tc>
                <w:tcPr>
                  <w:tcW w:w="1456" w:type="dxa"/>
                  <w:vAlign w:val="center"/>
                </w:tcPr>
                <w:p w:rsidR="003B676C" w:rsidRPr="001D0BF5" w:rsidRDefault="003B676C" w:rsidP="003B676C">
                  <w:pPr>
                    <w:jc w:val="center"/>
                  </w:pPr>
                  <w:r>
                    <w:rPr>
                      <w:rFonts w:eastAsia="仿宋_GB2312"/>
                      <w:szCs w:val="21"/>
                    </w:rPr>
                    <w:t xml:space="preserve">Dante Alighieri: </w:t>
                  </w:r>
                  <w:r>
                    <w:rPr>
                      <w:rFonts w:eastAsia="仿宋_GB2312"/>
                      <w:i/>
                      <w:szCs w:val="21"/>
                    </w:rPr>
                    <w:t>The Divine Comedy</w:t>
                  </w:r>
                  <w:r>
                    <w:rPr>
                      <w:rFonts w:eastAsia="仿宋_GB2312"/>
                      <w:szCs w:val="21"/>
                    </w:rPr>
                    <w:t xml:space="preserve"> (Extracts from The Inferno)</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Pr="001D0BF5" w:rsidRDefault="003B676C" w:rsidP="003B676C">
                  <w:pPr>
                    <w:jc w:val="center"/>
                  </w:pPr>
                  <w:r>
                    <w:rPr>
                      <w:rFonts w:eastAsia="仿宋_GB2312"/>
                      <w:szCs w:val="21"/>
                    </w:rPr>
                    <w:t xml:space="preserve">Geoffrey Chaucer: </w:t>
                  </w:r>
                  <w:r>
                    <w:rPr>
                      <w:rFonts w:eastAsia="仿宋_GB2312"/>
                      <w:i/>
                      <w:szCs w:val="21"/>
                    </w:rPr>
                    <w:t>The Canterbury Tales</w:t>
                  </w:r>
                  <w:r>
                    <w:rPr>
                      <w:rFonts w:eastAsia="仿宋_GB2312"/>
                      <w:szCs w:val="21"/>
                    </w:rPr>
                    <w:t>: The General Prologue</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center"/>
                    <w:rPr>
                      <w:rFonts w:eastAsia="仿宋_GB2312"/>
                      <w:szCs w:val="21"/>
                    </w:rPr>
                  </w:pPr>
                  <w:r>
                    <w:rPr>
                      <w:rFonts w:eastAsia="仿宋_GB2312"/>
                      <w:szCs w:val="21"/>
                    </w:rPr>
                    <w:t xml:space="preserve">Thomas More: </w:t>
                  </w:r>
                  <w:r>
                    <w:rPr>
                      <w:rFonts w:eastAsia="仿宋_GB2312"/>
                      <w:i/>
                      <w:szCs w:val="21"/>
                    </w:rPr>
                    <w:t>Utopia</w:t>
                  </w:r>
                  <w:r>
                    <w:rPr>
                      <w:rFonts w:eastAsia="仿宋_GB2312"/>
                      <w:szCs w:val="21"/>
                    </w:rPr>
                    <w:t xml:space="preserve"> (extracts from Part 2)</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center"/>
                    <w:rPr>
                      <w:rFonts w:eastAsia="仿宋_GB2312"/>
                      <w:szCs w:val="21"/>
                    </w:rPr>
                  </w:pPr>
                  <w:r>
                    <w:rPr>
                      <w:i/>
                      <w:szCs w:val="21"/>
                    </w:rPr>
                    <w:t xml:space="preserve">The Life of </w:t>
                  </w:r>
                  <w:proofErr w:type="spellStart"/>
                  <w:r>
                    <w:rPr>
                      <w:i/>
                      <w:szCs w:val="21"/>
                    </w:rPr>
                    <w:t>Lazarillo</w:t>
                  </w:r>
                  <w:proofErr w:type="spellEnd"/>
                  <w:r>
                    <w:rPr>
                      <w:i/>
                      <w:szCs w:val="21"/>
                    </w:rPr>
                    <w:t xml:space="preserve"> de </w:t>
                  </w:r>
                  <w:proofErr w:type="spellStart"/>
                  <w:r>
                    <w:rPr>
                      <w:i/>
                      <w:szCs w:val="21"/>
                    </w:rPr>
                    <w:t>Tormes</w:t>
                  </w:r>
                  <w:proofErr w:type="spellEnd"/>
                  <w:r>
                    <w:rPr>
                      <w:szCs w:val="21"/>
                    </w:rPr>
                    <w:t xml:space="preserve"> (1554)</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center"/>
                    <w:rPr>
                      <w:rFonts w:eastAsia="仿宋_GB2312"/>
                      <w:szCs w:val="21"/>
                    </w:rPr>
                  </w:pPr>
                  <w:r>
                    <w:rPr>
                      <w:rFonts w:eastAsia="仿宋_GB2312"/>
                      <w:szCs w:val="21"/>
                    </w:rPr>
                    <w:t>Michel de Montaigne: “Of Cannibals”</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center"/>
                    <w:rPr>
                      <w:rFonts w:eastAsia="仿宋_GB2312"/>
                      <w:szCs w:val="21"/>
                    </w:rPr>
                  </w:pPr>
                  <w:r>
                    <w:rPr>
                      <w:rFonts w:eastAsia="仿宋_GB2312"/>
                      <w:szCs w:val="21"/>
                    </w:rPr>
                    <w:t xml:space="preserve">Shakespeare: </w:t>
                  </w:r>
                  <w:r>
                    <w:rPr>
                      <w:rFonts w:eastAsia="仿宋_GB2312"/>
                      <w:i/>
                      <w:szCs w:val="21"/>
                    </w:rPr>
                    <w:t>Macbeth</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left"/>
                    <w:rPr>
                      <w:rFonts w:eastAsia="仿宋_GB2312"/>
                      <w:szCs w:val="21"/>
                    </w:rPr>
                  </w:pPr>
                  <w:r>
                    <w:rPr>
                      <w:rFonts w:eastAsia="仿宋_GB2312"/>
                      <w:szCs w:val="21"/>
                    </w:rPr>
                    <w:lastRenderedPageBreak/>
                    <w:t xml:space="preserve">Jonathan Swift: </w:t>
                  </w:r>
                  <w:r>
                    <w:rPr>
                      <w:rFonts w:eastAsia="仿宋_GB2312"/>
                      <w:i/>
                      <w:szCs w:val="21"/>
                    </w:rPr>
                    <w:t>Gulliver’s Travels</w:t>
                  </w:r>
                  <w:r>
                    <w:rPr>
                      <w:rFonts w:eastAsia="仿宋_GB2312"/>
                      <w:szCs w:val="21"/>
                    </w:rPr>
                    <w:t xml:space="preserve"> (1726; 1735): Extracts from Book 1, Book 2, and Book 4</w:t>
                  </w:r>
                </w:p>
                <w:p w:rsidR="003B676C" w:rsidRPr="009F4CFF" w:rsidRDefault="003B676C" w:rsidP="003B676C">
                  <w:pPr>
                    <w:jc w:val="center"/>
                    <w:rPr>
                      <w:rFonts w:eastAsia="仿宋_GB2312"/>
                      <w:szCs w:val="21"/>
                    </w:rPr>
                  </w:pP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left"/>
                    <w:rPr>
                      <w:rFonts w:eastAsia="仿宋_GB2312"/>
                      <w:szCs w:val="21"/>
                    </w:rPr>
                  </w:pPr>
                  <w:r>
                    <w:rPr>
                      <w:rFonts w:eastAsia="仿宋_GB2312"/>
                      <w:szCs w:val="21"/>
                    </w:rPr>
                    <w:t xml:space="preserve">Voltaire: </w:t>
                  </w:r>
                  <w:r>
                    <w:rPr>
                      <w:rFonts w:eastAsia="仿宋_GB2312"/>
                      <w:i/>
                      <w:szCs w:val="21"/>
                    </w:rPr>
                    <w:t>Candide, or Optimism</w:t>
                  </w:r>
                  <w:r>
                    <w:rPr>
                      <w:rFonts w:eastAsia="仿宋_GB2312"/>
                      <w:szCs w:val="21"/>
                    </w:rPr>
                    <w:t xml:space="preserve"> (1759)</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left"/>
                    <w:rPr>
                      <w:rFonts w:eastAsia="仿宋_GB2312"/>
                      <w:szCs w:val="21"/>
                    </w:rPr>
                  </w:pPr>
                  <w:r>
                    <w:rPr>
                      <w:rFonts w:eastAsia="仿宋_GB2312"/>
                      <w:szCs w:val="21"/>
                    </w:rPr>
                    <w:t xml:space="preserve">Goethe: </w:t>
                  </w:r>
                  <w:r>
                    <w:rPr>
                      <w:rFonts w:eastAsia="仿宋_GB2312"/>
                      <w:i/>
                      <w:szCs w:val="21"/>
                    </w:rPr>
                    <w:t>The Sorrows of Young Werther</w:t>
                  </w:r>
                  <w:r>
                    <w:rPr>
                      <w:rFonts w:eastAsia="仿宋_GB2312"/>
                      <w:szCs w:val="21"/>
                    </w:rPr>
                    <w:t xml:space="preserve"> (1776)</w:t>
                  </w:r>
                </w:p>
              </w:tc>
              <w:tc>
                <w:tcPr>
                  <w:tcW w:w="816" w:type="dxa"/>
                  <w:vAlign w:val="center"/>
                </w:tcPr>
                <w:p w:rsidR="003B676C" w:rsidRPr="001D0BF5" w:rsidRDefault="003B676C" w:rsidP="003B676C">
                  <w:pPr>
                    <w:jc w:val="center"/>
                  </w:pPr>
                  <w:r>
                    <w:rPr>
                      <w:rFonts w:hint="eastAsia"/>
                    </w:rPr>
                    <w:t>2</w:t>
                  </w:r>
                </w:p>
              </w:tc>
              <w:tc>
                <w:tcPr>
                  <w:tcW w:w="1334" w:type="dxa"/>
                  <w:vAlign w:val="center"/>
                </w:tcPr>
                <w:p w:rsidR="003B676C" w:rsidRPr="001D0BF5" w:rsidRDefault="003B676C" w:rsidP="003B676C">
                  <w:pPr>
                    <w:jc w:val="center"/>
                  </w:pPr>
                  <w:r>
                    <w:rPr>
                      <w:rFonts w:hint="eastAsia"/>
                    </w:rPr>
                    <w:t>L</w:t>
                  </w:r>
                  <w:r>
                    <w:t>ectures and Discussion</w:t>
                  </w:r>
                </w:p>
              </w:tc>
              <w:tc>
                <w:tcPr>
                  <w:tcW w:w="1355" w:type="dxa"/>
                  <w:vAlign w:val="center"/>
                </w:tcPr>
                <w:p w:rsidR="003B676C" w:rsidRPr="001D0BF5" w:rsidRDefault="003B676C" w:rsidP="003B676C">
                  <w:pPr>
                    <w:jc w:val="center"/>
                  </w:pPr>
                  <w:r>
                    <w:rPr>
                      <w:rFonts w:hint="eastAsia"/>
                    </w:rPr>
                    <w:t>R</w:t>
                  </w:r>
                  <w:r>
                    <w:t>eading and Discussion</w:t>
                  </w: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0"/>
              </w:trPr>
              <w:tc>
                <w:tcPr>
                  <w:tcW w:w="1456" w:type="dxa"/>
                  <w:vAlign w:val="center"/>
                </w:tcPr>
                <w:p w:rsidR="003B676C" w:rsidRDefault="003B676C" w:rsidP="003B676C">
                  <w:pPr>
                    <w:jc w:val="center"/>
                    <w:rPr>
                      <w:rFonts w:eastAsia="仿宋_GB2312"/>
                      <w:szCs w:val="21"/>
                    </w:rPr>
                  </w:pPr>
                </w:p>
              </w:tc>
              <w:tc>
                <w:tcPr>
                  <w:tcW w:w="816" w:type="dxa"/>
                  <w:vAlign w:val="center"/>
                </w:tcPr>
                <w:p w:rsidR="003B676C" w:rsidRPr="001D0BF5" w:rsidRDefault="003B676C" w:rsidP="003B676C">
                  <w:pPr>
                    <w:jc w:val="center"/>
                  </w:pPr>
                </w:p>
              </w:tc>
              <w:tc>
                <w:tcPr>
                  <w:tcW w:w="1334" w:type="dxa"/>
                  <w:vAlign w:val="center"/>
                </w:tcPr>
                <w:p w:rsidR="003B676C" w:rsidRPr="001D0BF5" w:rsidRDefault="003B676C" w:rsidP="003B676C">
                  <w:pPr>
                    <w:jc w:val="center"/>
                  </w:pPr>
                </w:p>
              </w:tc>
              <w:tc>
                <w:tcPr>
                  <w:tcW w:w="1355" w:type="dxa"/>
                  <w:vAlign w:val="center"/>
                </w:tcPr>
                <w:p w:rsidR="003B676C" w:rsidRPr="001D0BF5" w:rsidRDefault="003B676C" w:rsidP="003B676C">
                  <w:pPr>
                    <w:jc w:val="center"/>
                  </w:pP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r w:rsidR="003B676C" w:rsidTr="00784A11">
              <w:trPr>
                <w:trHeight w:val="568"/>
              </w:trPr>
              <w:tc>
                <w:tcPr>
                  <w:tcW w:w="1456" w:type="dxa"/>
                  <w:vAlign w:val="center"/>
                </w:tcPr>
                <w:p w:rsidR="003B676C" w:rsidRPr="001D0BF5" w:rsidRDefault="003B676C" w:rsidP="003B676C">
                  <w:pPr>
                    <w:jc w:val="center"/>
                  </w:pPr>
                  <w:r w:rsidRPr="001D0BF5">
                    <w:t>……</w:t>
                  </w:r>
                </w:p>
              </w:tc>
              <w:tc>
                <w:tcPr>
                  <w:tcW w:w="816" w:type="dxa"/>
                  <w:vAlign w:val="center"/>
                </w:tcPr>
                <w:p w:rsidR="003B676C" w:rsidRPr="001D0BF5" w:rsidRDefault="003B676C" w:rsidP="003B676C">
                  <w:pPr>
                    <w:jc w:val="center"/>
                  </w:pPr>
                </w:p>
              </w:tc>
              <w:tc>
                <w:tcPr>
                  <w:tcW w:w="1334" w:type="dxa"/>
                  <w:vAlign w:val="center"/>
                </w:tcPr>
                <w:p w:rsidR="003B676C" w:rsidRPr="001D0BF5" w:rsidRDefault="003B676C" w:rsidP="003B676C">
                  <w:pPr>
                    <w:jc w:val="center"/>
                  </w:pPr>
                </w:p>
              </w:tc>
              <w:tc>
                <w:tcPr>
                  <w:tcW w:w="1355" w:type="dxa"/>
                  <w:vAlign w:val="center"/>
                </w:tcPr>
                <w:p w:rsidR="003B676C" w:rsidRPr="001D0BF5" w:rsidRDefault="003B676C" w:rsidP="003B676C">
                  <w:pPr>
                    <w:jc w:val="center"/>
                  </w:pPr>
                </w:p>
              </w:tc>
              <w:tc>
                <w:tcPr>
                  <w:tcW w:w="1146" w:type="dxa"/>
                  <w:vAlign w:val="center"/>
                </w:tcPr>
                <w:p w:rsidR="003B676C" w:rsidRPr="001D0BF5" w:rsidRDefault="003B676C" w:rsidP="003B676C">
                  <w:pPr>
                    <w:jc w:val="center"/>
                  </w:pPr>
                </w:p>
              </w:tc>
              <w:tc>
                <w:tcPr>
                  <w:tcW w:w="1162" w:type="dxa"/>
                  <w:vAlign w:val="center"/>
                </w:tcPr>
                <w:p w:rsidR="003B676C" w:rsidRPr="001D0BF5" w:rsidRDefault="003B676C" w:rsidP="003B676C">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9F4CFF" w:rsidRDefault="009F4CFF" w:rsidP="009F4CFF">
            <w:pPr>
              <w:spacing w:afterLines="50" w:after="156"/>
              <w:jc w:val="left"/>
              <w:rPr>
                <w:rFonts w:eastAsia="仿宋_GB2312"/>
                <w:szCs w:val="21"/>
              </w:rPr>
            </w:pPr>
            <w:r>
              <w:rPr>
                <w:rFonts w:eastAsia="仿宋_GB2312"/>
                <w:szCs w:val="21"/>
              </w:rPr>
              <w:t>Writing Assignments: 60 % (4 assignments x 15 %)</w:t>
            </w:r>
          </w:p>
          <w:p w:rsidR="009F4CFF" w:rsidRDefault="009F4CFF" w:rsidP="009F4CFF">
            <w:pPr>
              <w:spacing w:afterLines="50" w:after="156"/>
              <w:jc w:val="left"/>
              <w:rPr>
                <w:rFonts w:eastAsia="仿宋_GB2312"/>
                <w:szCs w:val="21"/>
              </w:rPr>
            </w:pPr>
            <w:r>
              <w:rPr>
                <w:rFonts w:eastAsia="仿宋_GB2312"/>
                <w:szCs w:val="21"/>
              </w:rPr>
              <w:t>In-class presentation: 10 %</w:t>
            </w:r>
          </w:p>
          <w:p w:rsidR="009F4CFF" w:rsidRDefault="009F4CFF" w:rsidP="009F4CFF">
            <w:pPr>
              <w:spacing w:afterLines="50" w:after="156"/>
              <w:jc w:val="left"/>
              <w:rPr>
                <w:rFonts w:eastAsia="仿宋_GB2312"/>
                <w:szCs w:val="21"/>
              </w:rPr>
            </w:pPr>
            <w:r>
              <w:rPr>
                <w:rFonts w:eastAsia="仿宋_GB2312"/>
                <w:szCs w:val="21"/>
              </w:rPr>
              <w:t>Open Book Final Exam: 20 %</w:t>
            </w:r>
          </w:p>
          <w:p w:rsidR="000A548F" w:rsidRPr="001D0BF5" w:rsidRDefault="009F4CFF" w:rsidP="009F4CFF">
            <w:pPr>
              <w:jc w:val="left"/>
            </w:pPr>
            <w:r>
              <w:rPr>
                <w:rFonts w:eastAsia="仿宋_GB2312"/>
                <w:szCs w:val="21"/>
              </w:rPr>
              <w:t>Class attendance and participation: 10 %</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Default="009F4CFF" w:rsidP="00F46C0A">
            <w:pPr>
              <w:jc w:val="left"/>
            </w:pPr>
            <w:r w:rsidRPr="009F4CFF">
              <w:t>1. Raman Selden, Peter Widdowson, Peter Brooker, A Reader’s Guide to Contemporary Literary Theory, (London: Pearson Education Limited), 2005.</w:t>
            </w:r>
          </w:p>
          <w:p w:rsidR="009F4CFF" w:rsidRDefault="009F4CFF" w:rsidP="00F46C0A">
            <w:pPr>
              <w:jc w:val="left"/>
            </w:pPr>
            <w:r>
              <w:rPr>
                <w:rFonts w:hint="eastAsia"/>
              </w:rPr>
              <w:t>2</w:t>
            </w:r>
            <w:r>
              <w:t>.</w:t>
            </w:r>
            <w:r w:rsidRPr="009F4CFF">
              <w:t xml:space="preserve"> Mary Ellen Snodgrass, Peter Carey: A Literary Companion, (Jefferson, North Carolina: McFarland), 2010.</w:t>
            </w:r>
          </w:p>
          <w:p w:rsidR="003B676C" w:rsidRDefault="003B676C" w:rsidP="00F46C0A">
            <w:pPr>
              <w:jc w:val="left"/>
            </w:pPr>
            <w:r w:rsidRPr="003B676C">
              <w:t>3. Eva, Muller-</w:t>
            </w:r>
            <w:proofErr w:type="spellStart"/>
            <w:r w:rsidRPr="003B676C">
              <w:t>Zettelmann</w:t>
            </w:r>
            <w:proofErr w:type="spellEnd"/>
            <w:r w:rsidRPr="003B676C">
              <w:t xml:space="preserve">, </w:t>
            </w:r>
            <w:proofErr w:type="spellStart"/>
            <w:r w:rsidRPr="003B676C">
              <w:t>Margareter</w:t>
            </w:r>
            <w:proofErr w:type="spellEnd"/>
            <w:r w:rsidRPr="003B676C">
              <w:t xml:space="preserve"> Rubik, Theory into Poetry: New Approaches to the Lyric, (New York: </w:t>
            </w:r>
            <w:proofErr w:type="spellStart"/>
            <w:r w:rsidRPr="003B676C">
              <w:t>Rodopi</w:t>
            </w:r>
            <w:proofErr w:type="spellEnd"/>
            <w:r w:rsidRPr="003B676C">
              <w:t>), 2005.</w:t>
            </w:r>
          </w:p>
          <w:p w:rsidR="003B676C" w:rsidRDefault="003B676C" w:rsidP="00F46C0A">
            <w:pPr>
              <w:jc w:val="left"/>
            </w:pPr>
            <w:r w:rsidRPr="003B676C">
              <w:t xml:space="preserve">4. Edna Aizenberg, Borges and His Successors: The </w:t>
            </w:r>
            <w:proofErr w:type="spellStart"/>
            <w:r w:rsidRPr="003B676C">
              <w:t>Borgesian</w:t>
            </w:r>
            <w:proofErr w:type="spellEnd"/>
            <w:r w:rsidRPr="003B676C">
              <w:t xml:space="preserve"> on Literature and the Arts, (Columbia and London: University of Missouri Press), 1990.</w:t>
            </w:r>
          </w:p>
          <w:p w:rsidR="003B676C" w:rsidRPr="003B676C" w:rsidRDefault="003B676C" w:rsidP="00F46C0A">
            <w:pPr>
              <w:jc w:val="left"/>
              <w:rPr>
                <w:rFonts w:hint="eastAsia"/>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lastRenderedPageBreak/>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6769" w:rsidRDefault="00886769" w:rsidP="00577ECF">
      <w:r>
        <w:separator/>
      </w:r>
    </w:p>
  </w:endnote>
  <w:endnote w:type="continuationSeparator" w:id="0">
    <w:p w:rsidR="00886769" w:rsidRDefault="00886769"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6769" w:rsidRDefault="00886769" w:rsidP="00577ECF">
      <w:r>
        <w:separator/>
      </w:r>
    </w:p>
  </w:footnote>
  <w:footnote w:type="continuationSeparator" w:id="0">
    <w:p w:rsidR="00886769" w:rsidRDefault="00886769"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376D" w:rsidRDefault="007B376D">
    <w:pPr>
      <w:pStyle w:val="a9"/>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51246"/>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B676C"/>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86769"/>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9F4CFF"/>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6B117"/>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526127">
      <w:bodyDiv w:val="1"/>
      <w:marLeft w:val="0"/>
      <w:marRight w:val="0"/>
      <w:marTop w:val="0"/>
      <w:marBottom w:val="0"/>
      <w:divBdr>
        <w:top w:val="none" w:sz="0" w:space="0" w:color="auto"/>
        <w:left w:val="none" w:sz="0" w:space="0" w:color="auto"/>
        <w:bottom w:val="none" w:sz="0" w:space="0" w:color="auto"/>
        <w:right w:val="none" w:sz="0" w:space="0" w:color="auto"/>
      </w:divBdr>
    </w:div>
    <w:div w:id="451289886">
      <w:bodyDiv w:val="1"/>
      <w:marLeft w:val="0"/>
      <w:marRight w:val="0"/>
      <w:marTop w:val="0"/>
      <w:marBottom w:val="0"/>
      <w:divBdr>
        <w:top w:val="none" w:sz="0" w:space="0" w:color="auto"/>
        <w:left w:val="none" w:sz="0" w:space="0" w:color="auto"/>
        <w:bottom w:val="none" w:sz="0" w:space="0" w:color="auto"/>
        <w:right w:val="none" w:sz="0" w:space="0" w:color="auto"/>
      </w:divBdr>
    </w:div>
    <w:div w:id="997490618">
      <w:bodyDiv w:val="1"/>
      <w:marLeft w:val="0"/>
      <w:marRight w:val="0"/>
      <w:marTop w:val="0"/>
      <w:marBottom w:val="0"/>
      <w:divBdr>
        <w:top w:val="none" w:sz="0" w:space="0" w:color="auto"/>
        <w:left w:val="none" w:sz="0" w:space="0" w:color="auto"/>
        <w:bottom w:val="none" w:sz="0" w:space="0" w:color="auto"/>
        <w:right w:val="none" w:sz="0" w:space="0" w:color="auto"/>
      </w:divBdr>
    </w:div>
    <w:div w:id="1277517690">
      <w:bodyDiv w:val="1"/>
      <w:marLeft w:val="0"/>
      <w:marRight w:val="0"/>
      <w:marTop w:val="0"/>
      <w:marBottom w:val="0"/>
      <w:divBdr>
        <w:top w:val="none" w:sz="0" w:space="0" w:color="auto"/>
        <w:left w:val="none" w:sz="0" w:space="0" w:color="auto"/>
        <w:bottom w:val="none" w:sz="0" w:space="0" w:color="auto"/>
        <w:right w:val="none" w:sz="0" w:space="0" w:color="auto"/>
      </w:divBdr>
      <w:divsChild>
        <w:div w:id="1963655543">
          <w:marLeft w:val="547"/>
          <w:marRight w:val="0"/>
          <w:marTop w:val="200"/>
          <w:marBottom w:val="0"/>
          <w:divBdr>
            <w:top w:val="none" w:sz="0" w:space="0" w:color="auto"/>
            <w:left w:val="none" w:sz="0" w:space="0" w:color="auto"/>
            <w:bottom w:val="none" w:sz="0" w:space="0" w:color="auto"/>
            <w:right w:val="none" w:sz="0" w:space="0" w:color="auto"/>
          </w:divBdr>
        </w:div>
      </w:divsChild>
    </w:div>
    <w:div w:id="1284341018">
      <w:bodyDiv w:val="1"/>
      <w:marLeft w:val="0"/>
      <w:marRight w:val="0"/>
      <w:marTop w:val="0"/>
      <w:marBottom w:val="0"/>
      <w:divBdr>
        <w:top w:val="none" w:sz="0" w:space="0" w:color="auto"/>
        <w:left w:val="none" w:sz="0" w:space="0" w:color="auto"/>
        <w:bottom w:val="none" w:sz="0" w:space="0" w:color="auto"/>
        <w:right w:val="none" w:sz="0" w:space="0" w:color="auto"/>
      </w:divBdr>
    </w:div>
    <w:div w:id="1522892030">
      <w:bodyDiv w:val="1"/>
      <w:marLeft w:val="0"/>
      <w:marRight w:val="0"/>
      <w:marTop w:val="0"/>
      <w:marBottom w:val="0"/>
      <w:divBdr>
        <w:top w:val="none" w:sz="0" w:space="0" w:color="auto"/>
        <w:left w:val="none" w:sz="0" w:space="0" w:color="auto"/>
        <w:bottom w:val="none" w:sz="0" w:space="0" w:color="auto"/>
        <w:right w:val="none" w:sz="0" w:space="0" w:color="auto"/>
      </w:divBdr>
      <w:divsChild>
        <w:div w:id="610430279">
          <w:marLeft w:val="547"/>
          <w:marRight w:val="0"/>
          <w:marTop w:val="200"/>
          <w:marBottom w:val="0"/>
          <w:divBdr>
            <w:top w:val="none" w:sz="0" w:space="0" w:color="auto"/>
            <w:left w:val="none" w:sz="0" w:space="0" w:color="auto"/>
            <w:bottom w:val="none" w:sz="0" w:space="0" w:color="auto"/>
            <w:right w:val="none" w:sz="0" w:space="0" w:color="auto"/>
          </w:divBdr>
        </w:div>
      </w:divsChild>
    </w:div>
    <w:div w:id="1715809178">
      <w:bodyDiv w:val="1"/>
      <w:marLeft w:val="0"/>
      <w:marRight w:val="0"/>
      <w:marTop w:val="0"/>
      <w:marBottom w:val="0"/>
      <w:divBdr>
        <w:top w:val="none" w:sz="0" w:space="0" w:color="auto"/>
        <w:left w:val="none" w:sz="0" w:space="0" w:color="auto"/>
        <w:bottom w:val="none" w:sz="0" w:space="0" w:color="auto"/>
        <w:right w:val="none" w:sz="0" w:space="0" w:color="auto"/>
      </w:divBdr>
      <w:divsChild>
        <w:div w:id="234554985">
          <w:marLeft w:val="547"/>
          <w:marRight w:val="0"/>
          <w:marTop w:val="200"/>
          <w:marBottom w:val="0"/>
          <w:divBdr>
            <w:top w:val="none" w:sz="0" w:space="0" w:color="auto"/>
            <w:left w:val="none" w:sz="0" w:space="0" w:color="auto"/>
            <w:bottom w:val="none" w:sz="0" w:space="0" w:color="auto"/>
            <w:right w:val="none" w:sz="0" w:space="0" w:color="auto"/>
          </w:divBdr>
        </w:div>
      </w:divsChild>
    </w:div>
    <w:div w:id="1741826866">
      <w:bodyDiv w:val="1"/>
      <w:marLeft w:val="0"/>
      <w:marRight w:val="0"/>
      <w:marTop w:val="0"/>
      <w:marBottom w:val="0"/>
      <w:divBdr>
        <w:top w:val="none" w:sz="0" w:space="0" w:color="auto"/>
        <w:left w:val="none" w:sz="0" w:space="0" w:color="auto"/>
        <w:bottom w:val="none" w:sz="0" w:space="0" w:color="auto"/>
        <w:right w:val="none" w:sz="0" w:space="0" w:color="auto"/>
      </w:divBdr>
    </w:div>
    <w:div w:id="1804693366">
      <w:bodyDiv w:val="1"/>
      <w:marLeft w:val="0"/>
      <w:marRight w:val="0"/>
      <w:marTop w:val="0"/>
      <w:marBottom w:val="0"/>
      <w:divBdr>
        <w:top w:val="none" w:sz="0" w:space="0" w:color="auto"/>
        <w:left w:val="none" w:sz="0" w:space="0" w:color="auto"/>
        <w:bottom w:val="none" w:sz="0" w:space="0" w:color="auto"/>
        <w:right w:val="none" w:sz="0" w:space="0" w:color="auto"/>
      </w:divBdr>
    </w:div>
    <w:div w:id="1888492792">
      <w:bodyDiv w:val="1"/>
      <w:marLeft w:val="0"/>
      <w:marRight w:val="0"/>
      <w:marTop w:val="0"/>
      <w:marBottom w:val="0"/>
      <w:divBdr>
        <w:top w:val="none" w:sz="0" w:space="0" w:color="auto"/>
        <w:left w:val="none" w:sz="0" w:space="0" w:color="auto"/>
        <w:bottom w:val="none" w:sz="0" w:space="0" w:color="auto"/>
        <w:right w:val="none" w:sz="0" w:space="0" w:color="auto"/>
      </w:divBdr>
      <w:divsChild>
        <w:div w:id="2009206624">
          <w:marLeft w:val="547"/>
          <w:marRight w:val="0"/>
          <w:marTop w:val="200"/>
          <w:marBottom w:val="0"/>
          <w:divBdr>
            <w:top w:val="none" w:sz="0" w:space="0" w:color="auto"/>
            <w:left w:val="none" w:sz="0" w:space="0" w:color="auto"/>
            <w:bottom w:val="none" w:sz="0" w:space="0" w:color="auto"/>
            <w:right w:val="none" w:sz="0" w:space="0" w:color="auto"/>
          </w:divBdr>
        </w:div>
      </w:divsChild>
    </w:div>
    <w:div w:id="193084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1</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蔡诚</cp:lastModifiedBy>
  <cp:revision>39</cp:revision>
  <cp:lastPrinted>2014-04-28T01:34:00Z</cp:lastPrinted>
  <dcterms:created xsi:type="dcterms:W3CDTF">2014-07-21T01:35:00Z</dcterms:created>
  <dcterms:modified xsi:type="dcterms:W3CDTF">2017-12-01T04:05:00Z</dcterms:modified>
</cp:coreProperties>
</file>