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left"/>
        <w:rPr>
          <w:rFonts w:asciiTheme="minorEastAsia" w:hAnsiTheme="minorEastAsia"/>
          <w:szCs w:val="21"/>
        </w:rPr>
      </w:pPr>
      <w:r>
        <w:rPr>
          <w:rFonts w:hint="eastAsia" w:asciiTheme="minorEastAsia" w:hAnsiTheme="minorEastAsia"/>
          <w:szCs w:val="21"/>
        </w:rPr>
        <w:t>附表2</w:t>
      </w:r>
    </w:p>
    <w:p>
      <w:pPr>
        <w:spacing w:after="156"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w w:val="90"/>
              </w:rPr>
            </w:pPr>
            <w:r>
              <w:rPr>
                <w:rFonts w:hint="eastAsia"/>
                <w:w w:val="90"/>
              </w:rPr>
              <w:t>MU902</w:t>
            </w:r>
          </w:p>
        </w:tc>
        <w:tc>
          <w:tcPr>
            <w:tcW w:w="1515"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77" w:type="dxa"/>
            <w:vAlign w:val="center"/>
          </w:tcPr>
          <w:p>
            <w:pPr>
              <w:tabs>
                <w:tab w:val="left" w:pos="303"/>
              </w:tabs>
              <w:jc w:val="left"/>
              <w:rPr>
                <w:rFonts w:hint="eastAsia" w:eastAsiaTheme="minorEastAsia"/>
                <w:lang w:eastAsia="zh-CN"/>
              </w:rPr>
            </w:pPr>
            <w:r>
              <w:rPr>
                <w:rFonts w:hint="eastAsia"/>
                <w:lang w:eastAsia="zh-CN"/>
              </w:rPr>
              <w:tab/>
            </w:r>
            <w:r>
              <w:rPr>
                <w:rFonts w:hint="eastAsia"/>
                <w:lang w:val="en-US" w:eastAsia="zh-CN"/>
              </w:rPr>
              <w:t>32</w:t>
            </w:r>
          </w:p>
        </w:tc>
        <w:tc>
          <w:tcPr>
            <w:tcW w:w="1559" w:type="dxa"/>
            <w:gridSpan w:val="2"/>
            <w:vAlign w:val="center"/>
          </w:tcPr>
          <w:p>
            <w:pPr>
              <w:jc w:val="center"/>
            </w:pPr>
            <w:r>
              <w:rPr>
                <w:rFonts w:hint="eastAsia"/>
                <w:color w:val="FF0000"/>
              </w:rPr>
              <w:t>*</w:t>
            </w:r>
            <w:r>
              <w:t>学分</w:t>
            </w:r>
          </w:p>
          <w:p>
            <w:pPr>
              <w:jc w:val="center"/>
            </w:pPr>
            <w:r>
              <w:t>（Credits）</w:t>
            </w:r>
          </w:p>
        </w:tc>
        <w:tc>
          <w:tcPr>
            <w:tcW w:w="1702" w:type="dxa"/>
            <w:gridSpan w:val="2"/>
            <w:vAlign w:val="center"/>
          </w:tcPr>
          <w:p>
            <w:pPr>
              <w:rPr>
                <w:rFonts w:hint="eastAsia" w:eastAsiaTheme="minorEastAsia"/>
                <w:color w:val="00B050"/>
                <w:lang w:val="en-US" w:eastAsia="zh-CN"/>
              </w:rPr>
            </w:pPr>
            <w:r>
              <w:rPr>
                <w:rFonts w:hint="eastAsia"/>
                <w:color w:val="auto"/>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518" w:type="dxa"/>
            <w:gridSpan w:val="7"/>
            <w:vAlign w:val="center"/>
          </w:tcPr>
          <w:p>
            <w:pPr>
              <w:rPr>
                <w:color w:val="00B050"/>
              </w:rPr>
            </w:pPr>
            <w:r>
              <w:rPr>
                <w:rFonts w:hint="eastAsia"/>
                <w:color w:val="auto"/>
              </w:rPr>
              <w:t>（中文）中西乐理及其应用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vAlign w:val="center"/>
          </w:tcPr>
          <w:p>
            <w:pPr>
              <w:tabs>
                <w:tab w:val="left" w:pos="1868"/>
              </w:tabs>
              <w:rPr>
                <w:color w:val="00B050"/>
              </w:rPr>
            </w:pPr>
            <w:r>
              <w:rPr>
                <w:rFonts w:hint="eastAsia"/>
                <w:color w:val="auto"/>
              </w:rPr>
              <w:t>（英文）</w:t>
            </w:r>
            <w:r>
              <w:rPr>
                <w:rFonts w:hint="eastAsia"/>
                <w:color w:val="auto"/>
                <w:lang w:eastAsia="zh-CN"/>
              </w:rPr>
              <w:t>Chinese and western music theory and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color w:val="00B050"/>
              </w:rPr>
            </w:pPr>
          </w:p>
          <w:p>
            <w:pPr>
              <w:tabs>
                <w:tab w:val="left" w:pos="833"/>
              </w:tabs>
              <w:jc w:val="left"/>
              <w:rPr>
                <w:rFonts w:asciiTheme="minorHAnsi" w:hAnsiTheme="minorHAnsi" w:eastAsiaTheme="minorEastAsia" w:cstheme="minorBidi"/>
                <w:color w:val="00B050"/>
                <w:kern w:val="2"/>
                <w:sz w:val="21"/>
                <w:szCs w:val="22"/>
                <w:lang w:val="en-US" w:eastAsia="zh-CN" w:bidi="ar-SA"/>
              </w:rPr>
            </w:pPr>
            <w:r>
              <w:rPr>
                <w:rFonts w:hint="eastAsia" w:cstheme="minorBidi"/>
                <w:color w:val="00B050"/>
                <w:kern w:val="2"/>
                <w:sz w:val="21"/>
                <w:szCs w:val="22"/>
                <w:lang w:val="en-US" w:eastAsia="zh-CN" w:bidi="ar-SA"/>
              </w:rPr>
              <w:tab/>
            </w:r>
            <w:r>
              <w:rPr>
                <w:rFonts w:hint="eastAsia" w:cstheme="minorBidi"/>
                <w:color w:val="auto"/>
                <w:kern w:val="2"/>
                <w:sz w:val="21"/>
                <w:szCs w:val="22"/>
                <w:lang w:val="en-US" w:eastAsia="zh-CN" w:bidi="ar-SA"/>
              </w:rPr>
              <w:t>通识核心课程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（Target Audience）</w:t>
            </w:r>
          </w:p>
        </w:tc>
        <w:tc>
          <w:tcPr>
            <w:tcW w:w="7518" w:type="dxa"/>
            <w:gridSpan w:val="7"/>
            <w:vAlign w:val="center"/>
          </w:tcPr>
          <w:p>
            <w:pPr>
              <w:tabs>
                <w:tab w:val="left" w:pos="1118"/>
              </w:tabs>
              <w:jc w:val="left"/>
              <w:rPr>
                <w:rFonts w:hint="eastAsia" w:eastAsiaTheme="minorEastAsia"/>
                <w:lang w:eastAsia="zh-CN"/>
              </w:rPr>
            </w:pPr>
            <w:r>
              <w:rPr>
                <w:rFonts w:hint="eastAsia"/>
                <w:lang w:eastAsia="zh-CN"/>
              </w:rPr>
              <w:tab/>
            </w:r>
            <w:r>
              <w:rPr>
                <w:rFonts w:hint="eastAsia"/>
                <w:lang w:eastAsia="zh-CN"/>
              </w:rPr>
              <w:t>全校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left"/>
              <w:rPr>
                <w:rFonts w:hint="eastAsia" w:eastAsiaTheme="minorEastAsia"/>
                <w:lang w:eastAsia="zh-CN"/>
              </w:rPr>
            </w:pPr>
            <w:r>
              <w:rPr>
                <w:rFonts w:hint="eastAsia"/>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rPr>
                <w:rFonts w:hint="eastAsia" w:eastAsiaTheme="minorEastAsia"/>
                <w:lang w:eastAsia="zh-CN"/>
              </w:rPr>
            </w:pPr>
            <w:r>
              <w:rPr>
                <w:rFonts w:hint="eastAsia"/>
                <w:lang w:eastAsia="zh-CN"/>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tabs>
                <w:tab w:val="left" w:pos="1358"/>
              </w:tabs>
              <w:jc w:val="left"/>
              <w:rPr>
                <w:rFonts w:hint="eastAsia" w:eastAsiaTheme="minorEastAsia"/>
                <w:lang w:eastAsia="zh-CN"/>
              </w:rPr>
            </w:pPr>
            <w:r>
              <w:rPr>
                <w:rFonts w:hint="eastAsia"/>
                <w:lang w:eastAsia="zh-CN"/>
              </w:rPr>
              <w:tab/>
            </w:r>
            <w:r>
              <w:rPr>
                <w:rFonts w:hint="eastAsia"/>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rPr>
                <w:rFonts w:hint="eastAsia" w:eastAsiaTheme="minorEastAsia"/>
                <w:lang w:eastAsia="zh-CN"/>
              </w:rPr>
            </w:pPr>
            <w:r>
              <w:rPr>
                <w:rFonts w:hint="eastAsia"/>
                <w:lang w:eastAsia="zh-CN"/>
              </w:rPr>
              <w:t>胡慈舟</w:t>
            </w:r>
          </w:p>
        </w:tc>
        <w:tc>
          <w:tcPr>
            <w:tcW w:w="2095"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ind w:firstLine="420" w:firstLineChars="200"/>
              <w:rPr>
                <w:rFonts w:hint="eastAsia"/>
                <w:lang w:eastAsia="zh-CN"/>
              </w:rPr>
            </w:pPr>
            <w:r>
              <w:rPr>
                <w:rFonts w:hint="eastAsia"/>
                <w:lang w:eastAsia="zh-CN"/>
              </w:rPr>
              <w:t>对于学习音乐的人来说，无论是演奏还是欣赏音乐，如果掌握了一定的音乐基础理论知识，这对提高音乐自学能力、扫清学习障碍，使自身的音乐素质或技能在短时间里能有显著的提高是大有裨益的。</w:t>
            </w:r>
          </w:p>
          <w:p>
            <w:pPr>
              <w:ind w:firstLine="420" w:firstLineChars="200"/>
              <w:rPr>
                <w:rFonts w:hint="eastAsia"/>
                <w:lang w:eastAsia="zh-CN"/>
              </w:rPr>
            </w:pPr>
            <w:r>
              <w:rPr>
                <w:rFonts w:hint="eastAsia"/>
                <w:lang w:eastAsia="zh-CN"/>
              </w:rPr>
              <w:t>音乐基础理论俗称“乐理”，是人们学习音乐的入门课程。本书的内容主要涉及乐理基础理论知识及其使用。通过学习让读者了解到：记谱与读谱、音乐的基本要素、音与音之间结合的基本规律以及它们在音乐中所起的作用等。为了易于读者理解相关的理论知识，本书尽可能以由浅入深、循序渐进为原则，并用最为通俗的术语与文字来进行讲解。乐理部分用五线谱来表达，并辅有大量的插图与范例加以描述，同时配有一定量的练习以巩固所学。如今，随着现代电子技术的飞速发展与推广应用，我们也介绍了一些音乐软件辅助同学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ind w:firstLine="420" w:firstLineChars="200"/>
              <w:jc w:val="left"/>
              <w:rPr>
                <w:rFonts w:hint="eastAsia"/>
              </w:rPr>
            </w:pPr>
            <w:r>
              <w:rPr>
                <w:rFonts w:hint="eastAsia"/>
              </w:rPr>
              <w:t>For learning music, whether playing or listening to music, if mastered the basic music theory knowledge, to improve the ability of self-study, clear music learning disabilities, make their own musical qualities or skills in a short time can significantly improve is of great benefit.</w:t>
            </w:r>
          </w:p>
          <w:p>
            <w:pPr>
              <w:ind w:firstLine="420" w:firstLineChars="200"/>
              <w:jc w:val="left"/>
            </w:pPr>
            <w:r>
              <w:rPr>
                <w:rFonts w:hint="eastAsia"/>
              </w:rPr>
              <w:t>Basic theory of music, commonly known as "music", is that people learn music courses. This book mainly deals with the basic theory of knowledge and use of music. By learning to let readers know that notation and reads the spectrum, the elements of music, sound and tone between the combination of the basic patterns and their music in the role. In order to facilitate the reader to understand the relevant theoretical knowledge, this book as much as possible to the principle, step by step from the shallower to the deeper, and the most popular terminology and words to explain. Some music music to express, supplemented with illustrations and examples of a large number of described, at the same time with a certain amount of exercises to consolidate what they have learned. Today, with the rapid development of modern electronic technology and popularization and application, we also introduced some music software to help students learn.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518" w:type="dxa"/>
            <w:gridSpan w:val="7"/>
            <w:vAlign w:val="center"/>
          </w:tcPr>
          <w:p>
            <w:r>
              <w:rPr>
                <w:rFonts w:hint="eastAsia"/>
              </w:rPr>
              <w:t>1．</w:t>
            </w:r>
            <w:r>
              <w:rPr>
                <w:rFonts w:hint="eastAsia"/>
                <w:lang w:eastAsia="zh-CN"/>
              </w:rPr>
              <w:t>明确乐理学科体系</w:t>
            </w:r>
          </w:p>
          <w:p>
            <w:r>
              <w:rPr>
                <w:rFonts w:hint="eastAsia"/>
              </w:rPr>
              <w:t>2．</w:t>
            </w:r>
            <w:r>
              <w:rPr>
                <w:rFonts w:hint="eastAsia"/>
                <w:lang w:eastAsia="zh-CN"/>
              </w:rPr>
              <w:t>掌握乐理知识的应用与实践</w:t>
            </w:r>
          </w:p>
          <w:p>
            <w:r>
              <w:rPr>
                <w:rFonts w:hint="eastAsia"/>
              </w:rPr>
              <w:t>3．</w:t>
            </w:r>
            <w:r>
              <w:rPr>
                <w:rFonts w:hint="eastAsia"/>
                <w:lang w:eastAsia="zh-CN"/>
              </w:rPr>
              <w:t>掌握乐理各知识点之间的联系</w:t>
            </w:r>
          </w:p>
          <w:p>
            <w:r>
              <w:rPr>
                <w:rFonts w:hint="eastAsia"/>
              </w:rPr>
              <w:t>4．</w:t>
            </w:r>
            <w:r>
              <w:rPr>
                <w:rFonts w:hint="eastAsia"/>
                <w:lang w:eastAsia="zh-CN"/>
              </w:rPr>
              <w:t>能把软件应用与乐理知识联系起来</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816"/>
              <w:gridCol w:w="1334"/>
              <w:gridCol w:w="1355"/>
              <w:gridCol w:w="114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456" w:type="dxa"/>
                </w:tcPr>
                <w:p>
                  <w:pPr>
                    <w:jc w:val="center"/>
                  </w:pPr>
                  <w:r>
                    <w:rPr>
                      <w:rFonts w:hint="eastAsia"/>
                    </w:rPr>
                    <w:t>教学内容</w:t>
                  </w:r>
                </w:p>
              </w:tc>
              <w:tc>
                <w:tcPr>
                  <w:tcW w:w="816" w:type="dxa"/>
                </w:tcPr>
                <w:p>
                  <w:pPr>
                    <w:jc w:val="center"/>
                  </w:pPr>
                  <w:r>
                    <w:rPr>
                      <w:rFonts w:hint="eastAsia"/>
                    </w:rPr>
                    <w:t>学时</w:t>
                  </w:r>
                </w:p>
              </w:tc>
              <w:tc>
                <w:tcPr>
                  <w:tcW w:w="1334" w:type="dxa"/>
                </w:tcPr>
                <w:p>
                  <w:pPr>
                    <w:jc w:val="center"/>
                  </w:pPr>
                  <w:r>
                    <w:rPr>
                      <w:rFonts w:hint="eastAsia"/>
                    </w:rPr>
                    <w:t>教学方式</w:t>
                  </w:r>
                </w:p>
              </w:tc>
              <w:tc>
                <w:tcPr>
                  <w:tcW w:w="1355" w:type="dxa"/>
                </w:tcPr>
                <w:p>
                  <w:pPr>
                    <w:jc w:val="center"/>
                  </w:pPr>
                  <w:r>
                    <w:rPr>
                      <w:rFonts w:hint="eastAsia"/>
                    </w:rPr>
                    <w:t>作业及要求</w:t>
                  </w:r>
                </w:p>
              </w:tc>
              <w:tc>
                <w:tcPr>
                  <w:tcW w:w="114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五线谱</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音名与唱名</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谱表与音符</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 </w:t>
                  </w:r>
                  <w:r>
                    <w:rPr>
                      <w:rFonts w:hint="default" w:ascii="Tahoma" w:hAnsi="Tahoma" w:eastAsia="Tahoma" w:cs="Tahoma"/>
                      <w:b w:val="0"/>
                      <w:i w:val="0"/>
                      <w:caps w:val="0"/>
                      <w:color w:val="404040"/>
                      <w:spacing w:val="0"/>
                      <w:sz w:val="21"/>
                      <w:szCs w:val="21"/>
                      <w:shd w:val="clear" w:fill="FFFFFF"/>
                    </w:rPr>
                    <w:t>音程</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 </w:t>
                  </w:r>
                  <w:r>
                    <w:rPr>
                      <w:rFonts w:hint="default" w:ascii="Tahoma" w:hAnsi="Tahoma" w:eastAsia="Tahoma" w:cs="Tahoma"/>
                      <w:b w:val="0"/>
                      <w:i w:val="0"/>
                      <w:caps w:val="0"/>
                      <w:color w:val="404040"/>
                      <w:spacing w:val="0"/>
                      <w:sz w:val="21"/>
                      <w:szCs w:val="21"/>
                      <w:shd w:val="clear" w:fill="FFFFFF"/>
                    </w:rPr>
                    <w:t>音程的变化</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音程的转位</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调</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大调小调</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移调</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和弦</w:t>
                  </w:r>
                </w:p>
              </w:tc>
              <w:tc>
                <w:tcPr>
                  <w:tcW w:w="816" w:type="dxa"/>
                  <w:vAlign w:val="center"/>
                </w:tcPr>
                <w:p>
                  <w:pPr>
                    <w:jc w:val="center"/>
                    <w:rPr>
                      <w:rFonts w:hint="eastAsia" w:eastAsiaTheme="minorEastAsia"/>
                      <w:lang w:val="en-US" w:eastAsia="zh-CN"/>
                    </w:rPr>
                  </w:pPr>
                  <w:r>
                    <w:rPr>
                      <w:rFonts w:hint="eastAsia"/>
                      <w:lang w:val="en-US" w:eastAsia="zh-CN"/>
                    </w:rPr>
                    <w:t>2</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调内三和弦</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七和弦的转位</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中国乐理</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五声调式</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五度相生律</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456" w:type="dxa"/>
                  <w:vAlign w:val="center"/>
                </w:tcPr>
                <w:p>
                  <w:pPr>
                    <w:jc w:val="center"/>
                  </w:pPr>
                  <w:r>
                    <w:rPr>
                      <w:rFonts w:hint="eastAsia" w:ascii="Tahoma" w:hAnsi="Tahoma" w:eastAsia="Tahoma" w:cs="Tahoma"/>
                      <w:b w:val="0"/>
                      <w:i w:val="0"/>
                      <w:caps w:val="0"/>
                      <w:color w:val="404040"/>
                      <w:spacing w:val="0"/>
                      <w:sz w:val="21"/>
                      <w:szCs w:val="21"/>
                      <w:shd w:val="clear" w:fill="FFFFFF"/>
                    </w:rPr>
                    <w:t>软件的应用</w:t>
                  </w:r>
                </w:p>
              </w:tc>
              <w:tc>
                <w:tcPr>
                  <w:tcW w:w="816" w:type="dxa"/>
                  <w:vAlign w:val="center"/>
                </w:tcPr>
                <w:p>
                  <w:pPr>
                    <w:jc w:val="center"/>
                    <w:rPr>
                      <w:rFonts w:hint="eastAsia" w:eastAsiaTheme="minorEastAsia"/>
                      <w:lang w:val="en-US" w:eastAsia="zh-CN"/>
                    </w:rPr>
                  </w:pPr>
                  <w:r>
                    <w:rPr>
                      <w:rFonts w:hint="eastAsia"/>
                      <w:lang w:val="en-US" w:eastAsia="zh-CN"/>
                    </w:rPr>
                    <w:t>3</w:t>
                  </w:r>
                </w:p>
              </w:tc>
              <w:tc>
                <w:tcPr>
                  <w:tcW w:w="1334" w:type="dxa"/>
                  <w:vAlign w:val="center"/>
                </w:tcPr>
                <w:p>
                  <w:pPr>
                    <w:jc w:val="center"/>
                  </w:pPr>
                </w:p>
              </w:tc>
              <w:tc>
                <w:tcPr>
                  <w:tcW w:w="1355" w:type="dxa"/>
                  <w:vAlign w:val="center"/>
                </w:tcPr>
                <w:p>
                  <w:pPr>
                    <w:jc w:val="center"/>
                  </w:pPr>
                  <w:r>
                    <w:rPr>
                      <w:rFonts w:hint="eastAsia" w:ascii="Tahoma" w:hAnsi="Tahoma" w:eastAsia="Tahoma" w:cs="Tahoma"/>
                      <w:b w:val="0"/>
                      <w:i w:val="0"/>
                      <w:caps w:val="0"/>
                      <w:color w:val="404040"/>
                      <w:spacing w:val="0"/>
                      <w:sz w:val="21"/>
                      <w:szCs w:val="21"/>
                      <w:shd w:val="clear" w:fill="FFFFFF"/>
                    </w:rPr>
                    <w:t> </w:t>
                  </w:r>
                  <w:r>
                    <w:rPr>
                      <w:rFonts w:hint="default" w:ascii="Tahoma" w:hAnsi="Tahoma" w:eastAsia="Tahoma" w:cs="Tahoma"/>
                      <w:b w:val="0"/>
                      <w:i w:val="0"/>
                      <w:caps w:val="0"/>
                      <w:color w:val="404040"/>
                      <w:spacing w:val="0"/>
                      <w:sz w:val="21"/>
                      <w:szCs w:val="21"/>
                      <w:shd w:val="clear" w:fill="FFFFFF"/>
                    </w:rPr>
                    <w:t>Cake</w:t>
                  </w:r>
                  <w:r>
                    <w:rPr>
                      <w:rFonts w:hint="eastAsia" w:ascii="Tahoma" w:hAnsi="Tahoma" w:eastAsia="宋体" w:cs="Tahoma"/>
                      <w:b w:val="0"/>
                      <w:i w:val="0"/>
                      <w:caps w:val="0"/>
                      <w:color w:val="404040"/>
                      <w:spacing w:val="0"/>
                      <w:sz w:val="21"/>
                      <w:szCs w:val="21"/>
                      <w:shd w:val="clear" w:fill="FFFFFF"/>
                      <w:lang w:val="en-US" w:eastAsia="zh-CN"/>
                    </w:rPr>
                    <w:t>w</w:t>
                  </w:r>
                  <w:r>
                    <w:rPr>
                      <w:rFonts w:hint="default" w:ascii="Tahoma" w:hAnsi="Tahoma" w:eastAsia="Tahoma" w:cs="Tahoma"/>
                      <w:b w:val="0"/>
                      <w:i w:val="0"/>
                      <w:caps w:val="0"/>
                      <w:color w:val="404040"/>
                      <w:spacing w:val="0"/>
                      <w:sz w:val="21"/>
                      <w:szCs w:val="21"/>
                      <w:shd w:val="clear" w:fill="FFFFFF"/>
                    </w:rPr>
                    <w:t>alk</w:t>
                  </w:r>
                </w:p>
              </w:tc>
              <w:tc>
                <w:tcPr>
                  <w:tcW w:w="1146" w:type="dxa"/>
                  <w:vAlign w:val="center"/>
                </w:tcPr>
                <w:p>
                  <w:pPr>
                    <w:jc w:val="center"/>
                  </w:pPr>
                  <w:r>
                    <w:rPr>
                      <w:rFonts w:hint="eastAsia" w:ascii="Tahoma" w:hAnsi="Tahoma" w:eastAsia="Tahoma" w:cs="Tahoma"/>
                      <w:b w:val="0"/>
                      <w:i w:val="0"/>
                      <w:caps w:val="0"/>
                      <w:color w:val="404040"/>
                      <w:spacing w:val="0"/>
                      <w:sz w:val="21"/>
                      <w:szCs w:val="21"/>
                      <w:shd w:val="clear" w:fill="FFFFFF"/>
                    </w:rPr>
                    <w:t>Encore</w:t>
                  </w: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r>
                    <w:t>……</w:t>
                  </w: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456" w:type="dxa"/>
                  <w:vAlign w:val="center"/>
                </w:tcPr>
                <w:p>
                  <w:pPr>
                    <w:jc w:val="center"/>
                  </w:pPr>
                </w:p>
              </w:tc>
              <w:tc>
                <w:tcPr>
                  <w:tcW w:w="816" w:type="dxa"/>
                  <w:vAlign w:val="center"/>
                </w:tcPr>
                <w:p>
                  <w:pPr>
                    <w:jc w:val="center"/>
                  </w:pPr>
                </w:p>
              </w:tc>
              <w:tc>
                <w:tcPr>
                  <w:tcW w:w="1334" w:type="dxa"/>
                  <w:vAlign w:val="center"/>
                </w:tcPr>
                <w:p>
                  <w:pPr>
                    <w:jc w:val="center"/>
                  </w:pPr>
                </w:p>
              </w:tc>
              <w:tc>
                <w:tcPr>
                  <w:tcW w:w="1355" w:type="dxa"/>
                  <w:vAlign w:val="center"/>
                </w:tcPr>
                <w:p>
                  <w:pPr>
                    <w:jc w:val="center"/>
                  </w:pPr>
                </w:p>
              </w:tc>
              <w:tc>
                <w:tcPr>
                  <w:tcW w:w="1146" w:type="dxa"/>
                  <w:vAlign w:val="center"/>
                </w:tcPr>
                <w:p>
                  <w:pPr>
                    <w:jc w:val="center"/>
                  </w:pPr>
                </w:p>
              </w:tc>
              <w:tc>
                <w:tcPr>
                  <w:tcW w:w="1162" w:type="dxa"/>
                  <w:vAlign w:val="center"/>
                </w:tcPr>
                <w:p>
                  <w:pPr>
                    <w:jc w:val="center"/>
                  </w:pP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 (Grading)</w:t>
            </w:r>
          </w:p>
        </w:tc>
        <w:tc>
          <w:tcPr>
            <w:tcW w:w="7518" w:type="dxa"/>
            <w:gridSpan w:val="7"/>
            <w:vAlign w:val="center"/>
          </w:tcPr>
          <w:p>
            <w:pPr>
              <w:jc w:val="left"/>
              <w:rPr>
                <w:rFonts w:hint="eastAsia" w:eastAsiaTheme="minorEastAsia"/>
                <w:lang w:val="en-US" w:eastAsia="zh-CN"/>
              </w:rPr>
            </w:pPr>
            <w:r>
              <w:rPr>
                <w:rFonts w:hint="eastAsia"/>
                <w:lang w:val="en-US" w:eastAsia="zh-CN"/>
              </w:rPr>
              <w:t>开卷考70%+平时30%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jc w:val="left"/>
              <w:rPr>
                <w:rFonts w:hint="eastAsia" w:eastAsiaTheme="minorEastAsia"/>
                <w:color w:val="00B050"/>
                <w:lang w:eastAsia="zh-CN"/>
              </w:rPr>
            </w:pPr>
            <w:bookmarkStart w:id="0" w:name="_GoBack"/>
            <w:r>
              <w:rPr>
                <w:rFonts w:hint="eastAsia"/>
                <w:color w:val="auto"/>
                <w:lang w:eastAsia="zh-CN"/>
              </w:rPr>
              <w:t>《</w:t>
            </w:r>
            <w:r>
              <w:rPr>
                <w:rFonts w:ascii="Tahoma" w:hAnsi="Tahoma" w:eastAsia="Tahoma" w:cs="Tahoma"/>
                <w:b w:val="0"/>
                <w:i w:val="0"/>
                <w:caps w:val="0"/>
                <w:color w:val="auto"/>
                <w:spacing w:val="0"/>
                <w:sz w:val="18"/>
                <w:szCs w:val="18"/>
                <w:shd w:val="clear" w:fill="FFFFFF"/>
              </w:rPr>
              <w:t>乐理基础及其应用</w:t>
            </w:r>
            <w:r>
              <w:rPr>
                <w:rFonts w:hint="eastAsia"/>
                <w:color w:val="auto"/>
                <w:lang w:eastAsia="zh-CN"/>
              </w:rPr>
              <w:t>》</w:t>
            </w:r>
            <w:r>
              <w:rPr>
                <w:rFonts w:hint="eastAsia"/>
                <w:color w:val="auto"/>
                <w:lang w:val="en-US" w:eastAsia="zh-CN"/>
              </w:rPr>
              <w:t xml:space="preserve"> 张沁 </w:t>
            </w:r>
            <w:r>
              <w:rPr>
                <w:rFonts w:ascii="Tahoma" w:hAnsi="Tahoma" w:eastAsia="Tahoma" w:cs="Tahoma"/>
                <w:b w:val="0"/>
                <w:i w:val="0"/>
                <w:caps w:val="0"/>
                <w:color w:val="auto"/>
                <w:spacing w:val="0"/>
                <w:sz w:val="18"/>
                <w:szCs w:val="18"/>
                <w:shd w:val="clear" w:fill="FFFFFF"/>
              </w:rPr>
              <w:t>上海交</w:t>
            </w:r>
            <w:bookmarkEnd w:id="0"/>
            <w:r>
              <w:rPr>
                <w:rFonts w:ascii="Tahoma" w:hAnsi="Tahoma" w:eastAsia="Tahoma" w:cs="Tahoma"/>
                <w:b w:val="0"/>
                <w:i w:val="0"/>
                <w:caps w:val="0"/>
                <w:color w:val="666666"/>
                <w:spacing w:val="0"/>
                <w:sz w:val="18"/>
                <w:szCs w:val="18"/>
                <w:shd w:val="clear" w:fill="FFFFFF"/>
              </w:rPr>
              <w:t>通大学出版社</w:t>
            </w:r>
            <w:r>
              <w:rPr>
                <w:rFonts w:hint="eastAsia" w:ascii="Tahoma" w:hAnsi="Tahoma" w:eastAsia="宋体" w:cs="Tahoma"/>
                <w:b w:val="0"/>
                <w:i w:val="0"/>
                <w:caps w:val="0"/>
                <w:color w:val="666666"/>
                <w:spacing w:val="0"/>
                <w:sz w:val="18"/>
                <w:szCs w:val="18"/>
                <w:shd w:val="clear" w:fill="FFFFFF"/>
                <w:lang w:val="en-US" w:eastAsia="zh-CN"/>
              </w:rPr>
              <w:t xml:space="preserve"> </w:t>
            </w:r>
            <w:r>
              <w:rPr>
                <w:rFonts w:ascii="Tahoma" w:hAnsi="Tahoma" w:eastAsia="Tahoma" w:cs="Tahoma"/>
                <w:b w:val="0"/>
                <w:i w:val="0"/>
                <w:caps w:val="0"/>
                <w:color w:val="666666"/>
                <w:spacing w:val="0"/>
                <w:sz w:val="18"/>
                <w:szCs w:val="18"/>
                <w:shd w:val="clear" w:fill="FFFFFF"/>
              </w:rPr>
              <w:t>2011年01月</w:t>
            </w:r>
            <w:r>
              <w:rPr>
                <w:rFonts w:hint="eastAsia" w:ascii="Tahoma" w:hAnsi="Tahoma" w:eastAsia="宋体" w:cs="Tahoma"/>
                <w:b w:val="0"/>
                <w:i w:val="0"/>
                <w:caps w:val="0"/>
                <w:color w:val="666666"/>
                <w:spacing w:val="0"/>
                <w:sz w:val="18"/>
                <w:szCs w:val="18"/>
                <w:shd w:val="clear" w:fill="FFFFFF"/>
                <w:lang w:eastAsia="zh-CN"/>
              </w:rPr>
              <w:t>第一版</w:t>
            </w:r>
            <w:r>
              <w:rPr>
                <w:rFonts w:hint="eastAsia" w:ascii="Tahoma" w:hAnsi="Tahoma" w:eastAsia="宋体" w:cs="Tahoma"/>
                <w:b w:val="0"/>
                <w:i w:val="0"/>
                <w:caps w:val="0"/>
                <w:color w:val="666666"/>
                <w:spacing w:val="0"/>
                <w:sz w:val="18"/>
                <w:szCs w:val="18"/>
                <w:shd w:val="clear" w:fill="FFFFFF"/>
                <w:lang w:val="en-US" w:eastAsia="zh-CN"/>
              </w:rPr>
              <w:t xml:space="preserve"> </w:t>
            </w:r>
            <w:r>
              <w:rPr>
                <w:rFonts w:ascii="Tahoma" w:hAnsi="Tahoma" w:eastAsia="Tahoma" w:cs="Tahoma"/>
                <w:b w:val="0"/>
                <w:i w:val="0"/>
                <w:caps w:val="0"/>
                <w:color w:val="666666"/>
                <w:spacing w:val="0"/>
                <w:sz w:val="18"/>
                <w:szCs w:val="18"/>
                <w:shd w:val="clear" w:fill="FFFFFF"/>
              </w:rPr>
              <w:t>ISBN编号: 9787313068262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eteo">
    <w:altName w:val="Xirod"/>
    <w:panose1 w:val="00000000000000000000"/>
    <w:charset w:val="00"/>
    <w:family w:val="auto"/>
    <w:pitch w:val="default"/>
    <w:sig w:usb0="00000000" w:usb1="00000000" w:usb2="00000000" w:usb3="00000000" w:csb0="000001FF" w:csb1="00000000"/>
  </w:font>
  <w:font w:name="Xirod">
    <w:panose1 w:val="02000400000000000000"/>
    <w:charset w:val="00"/>
    <w:family w:val="auto"/>
    <w:pitch w:val="default"/>
    <w:sig w:usb0="80000023" w:usb1="0000000A"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w:t>
    </w:r>
    <w:r>
      <w:t>18</w:t>
    </w:r>
    <w:r>
      <w:rPr>
        <w:rFonts w:hint="eastAsia"/>
      </w:rPr>
      <w:t>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02675F40"/>
    <w:rsid w:val="027312F1"/>
    <w:rsid w:val="045C0F9D"/>
    <w:rsid w:val="04A027E9"/>
    <w:rsid w:val="077D3919"/>
    <w:rsid w:val="0D0D153B"/>
    <w:rsid w:val="15E141F0"/>
    <w:rsid w:val="17940D1F"/>
    <w:rsid w:val="19553FFE"/>
    <w:rsid w:val="1D790019"/>
    <w:rsid w:val="270564BC"/>
    <w:rsid w:val="27F022F3"/>
    <w:rsid w:val="2F4B55D7"/>
    <w:rsid w:val="3B175826"/>
    <w:rsid w:val="441344DC"/>
    <w:rsid w:val="537A72A0"/>
    <w:rsid w:val="54D82475"/>
    <w:rsid w:val="5B6D6CC3"/>
    <w:rsid w:val="61EA3CFD"/>
    <w:rsid w:val="653A01BE"/>
    <w:rsid w:val="65665A28"/>
    <w:rsid w:val="702D7FFB"/>
    <w:rsid w:val="7B880B51"/>
    <w:rsid w:val="7EEA76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870</Characters>
  <Lines>7</Lines>
  <Paragraphs>2</Paragraphs>
  <ScaleCrop>false</ScaleCrop>
  <LinksUpToDate>false</LinksUpToDate>
  <CharactersWithSpaces>1020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胡慈舟</cp:lastModifiedBy>
  <cp:lastPrinted>2014-04-28T01:34:00Z</cp:lastPrinted>
  <dcterms:modified xsi:type="dcterms:W3CDTF">2017-11-12T09:40:49Z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