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Lines="50"/>
        <w:jc w:val="center"/>
        <w:rPr>
          <w:b/>
          <w:sz w:val="32"/>
          <w:szCs w:val="32"/>
        </w:rPr>
      </w:pPr>
      <w:r>
        <w:rPr>
          <w:rFonts w:hint="eastAsia"/>
          <w:b/>
          <w:sz w:val="32"/>
          <w:szCs w:val="32"/>
        </w:rPr>
        <w:t>环境监测(A)</w:t>
      </w:r>
      <w:r>
        <w:rPr>
          <w:b/>
          <w:sz w:val="32"/>
          <w:szCs w:val="32"/>
        </w:rPr>
        <w:t>课程教学大纲</w:t>
      </w:r>
    </w:p>
    <w:p>
      <w:pPr>
        <w:ind w:firstLine="1050" w:firstLineChars="500"/>
      </w:pPr>
    </w:p>
    <w:tbl>
      <w:tblPr>
        <w:tblStyle w:val="9"/>
        <w:tblW w:w="9924"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6"/>
        <w:gridCol w:w="1265"/>
        <w:gridCol w:w="1515"/>
        <w:gridCol w:w="1477"/>
        <w:gridCol w:w="618"/>
        <w:gridCol w:w="941"/>
        <w:gridCol w:w="1692"/>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9924" w:type="dxa"/>
            <w:gridSpan w:val="8"/>
            <w:shd w:val="clear" w:color="auto" w:fill="D8D8D8" w:themeFill="background1" w:themeFillShade="D9"/>
            <w:vAlign w:val="center"/>
          </w:tcPr>
          <w:p>
            <w:pPr>
              <w:jc w:val="left"/>
              <w:rPr>
                <w:rFonts w:hint="eastAsia" w:asciiTheme="minorEastAsia" w:hAnsiTheme="minorEastAsia" w:eastAsiaTheme="minorEastAsia" w:cstheme="minorEastAsia"/>
                <w:color w:val="000000" w:themeColor="text1"/>
                <w14:textFill>
                  <w14:solidFill>
                    <w14:schemeClr w14:val="tx1"/>
                  </w14:solidFill>
                </w14:textFill>
              </w:rPr>
            </w:pPr>
            <w:bookmarkStart w:id="0" w:name="_GoBack"/>
            <w:r>
              <w:rPr>
                <w:rFonts w:hint="eastAsia" w:asciiTheme="minorEastAsia" w:hAnsiTheme="minorEastAsia" w:eastAsiaTheme="minorEastAsia" w:cstheme="minorEastAsia"/>
                <w:color w:val="000000" w:themeColor="text1"/>
                <w14:textFill>
                  <w14:solidFill>
                    <w14:schemeClr w14:val="tx1"/>
                  </w14:solidFill>
                </w14:textFill>
              </w:rPr>
              <w:t>课程基本信息（Course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9" w:hRule="atLeast"/>
        </w:trPr>
        <w:tc>
          <w:tcPr>
            <w:tcW w:w="240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课程代码</w:t>
            </w:r>
          </w:p>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（Course Code）</w:t>
            </w:r>
          </w:p>
        </w:tc>
        <w:tc>
          <w:tcPr>
            <w:tcW w:w="1265" w:type="dxa"/>
            <w:vAlign w:val="center"/>
          </w:tcPr>
          <w:p>
            <w:pPr>
              <w:rPr>
                <w:rFonts w:hint="eastAsia" w:asciiTheme="minorEastAsia" w:hAnsiTheme="minorEastAsia" w:eastAsiaTheme="minorEastAsia" w:cstheme="minorEastAsia"/>
                <w:color w:val="000000" w:themeColor="text1"/>
                <w:w w:val="90"/>
                <w14:textFill>
                  <w14:solidFill>
                    <w14:schemeClr w14:val="tx1"/>
                  </w14:solidFill>
                </w14:textFill>
              </w:rPr>
            </w:pPr>
            <w:r>
              <w:rPr>
                <w:rFonts w:hint="eastAsia" w:asciiTheme="minorEastAsia" w:hAnsiTheme="minorEastAsia" w:eastAsiaTheme="minorEastAsia" w:cstheme="minorEastAsia"/>
                <w:color w:val="000000" w:themeColor="text1"/>
                <w:kern w:val="0"/>
                <w:sz w:val="24"/>
                <w14:textFill>
                  <w14:solidFill>
                    <w14:schemeClr w14:val="tx1"/>
                  </w14:solidFill>
                </w14:textFill>
              </w:rPr>
              <w:t>EV202</w:t>
            </w:r>
          </w:p>
        </w:tc>
        <w:tc>
          <w:tcPr>
            <w:tcW w:w="1515"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*学时</w:t>
            </w:r>
          </w:p>
          <w:p>
            <w:pPr>
              <w:jc w:val="center"/>
              <w:rPr>
                <w:rFonts w:hint="eastAsia" w:asciiTheme="minorEastAsia" w:hAnsiTheme="minorEastAsia" w:eastAsiaTheme="minorEastAsia" w:cstheme="minorEastAsia"/>
                <w:color w:val="000000" w:themeColor="text1"/>
                <w:w w:val="90"/>
                <w14:textFill>
                  <w14:solidFill>
                    <w14:schemeClr w14:val="tx1"/>
                  </w14:solidFill>
                </w14:textFill>
              </w:rPr>
            </w:pPr>
            <w:r>
              <w:rPr>
                <w:rFonts w:hint="eastAsia" w:asciiTheme="minorEastAsia" w:hAnsiTheme="minorEastAsia" w:eastAsiaTheme="minorEastAsia" w:cstheme="minorEastAsia"/>
                <w:color w:val="000000" w:themeColor="text1"/>
                <w:w w:val="90"/>
                <w14:textFill>
                  <w14:solidFill>
                    <w14:schemeClr w14:val="tx1"/>
                  </w14:solidFill>
                </w14:textFill>
              </w:rPr>
              <w:t>（Credit Hours）</w:t>
            </w:r>
          </w:p>
        </w:tc>
        <w:tc>
          <w:tcPr>
            <w:tcW w:w="1477"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32</w:t>
            </w:r>
          </w:p>
        </w:tc>
        <w:tc>
          <w:tcPr>
            <w:tcW w:w="1559" w:type="dxa"/>
            <w:gridSpan w:val="2"/>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*学分</w:t>
            </w:r>
          </w:p>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（Credits）</w:t>
            </w:r>
          </w:p>
        </w:tc>
        <w:tc>
          <w:tcPr>
            <w:tcW w:w="1702" w:type="dxa"/>
            <w:gridSpan w:val="2"/>
            <w:vAlign w:val="center"/>
          </w:tcPr>
          <w:p>
            <w:pP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2406" w:type="dxa"/>
            <w:vMerge w:val="restart"/>
            <w:vAlign w:val="center"/>
          </w:tcPr>
          <w:p>
            <w:pP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*课程名称</w:t>
            </w:r>
          </w:p>
          <w:p>
            <w:pP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（Course Name）</w:t>
            </w:r>
          </w:p>
        </w:tc>
        <w:tc>
          <w:tcPr>
            <w:tcW w:w="7518" w:type="dxa"/>
            <w:gridSpan w:val="7"/>
          </w:tcPr>
          <w:p>
            <w:pPr>
              <w:jc w:val="left"/>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环境监测（A）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2406" w:type="dxa"/>
            <w:vMerge w:val="continue"/>
          </w:tcPr>
          <w:p>
            <w:pPr>
              <w:jc w:val="left"/>
              <w:rPr>
                <w:rFonts w:hint="eastAsia" w:asciiTheme="minorEastAsia" w:hAnsiTheme="minorEastAsia" w:eastAsiaTheme="minorEastAsia" w:cstheme="minorEastAsia"/>
                <w:color w:val="000000" w:themeColor="text1"/>
                <w14:textFill>
                  <w14:solidFill>
                    <w14:schemeClr w14:val="tx1"/>
                  </w14:solidFill>
                </w14:textFill>
              </w:rPr>
            </w:pPr>
          </w:p>
        </w:tc>
        <w:tc>
          <w:tcPr>
            <w:tcW w:w="7518" w:type="dxa"/>
            <w:gridSpan w:val="7"/>
          </w:tcPr>
          <w:p>
            <w:pPr>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Environmental  Monitoring（A）</w:t>
            </w:r>
          </w:p>
          <w:p>
            <w:pPr>
              <w:jc w:val="left"/>
              <w:rPr>
                <w:rFonts w:hint="eastAsia" w:asciiTheme="minorEastAsia" w:hAnsiTheme="minorEastAsia" w:eastAsiaTheme="minorEastAsia" w:cstheme="minorEastAsia"/>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trPr>
        <w:tc>
          <w:tcPr>
            <w:tcW w:w="240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课程性质</w:t>
            </w:r>
          </w:p>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(Course Type)</w:t>
            </w:r>
          </w:p>
        </w:tc>
        <w:tc>
          <w:tcPr>
            <w:tcW w:w="7518" w:type="dxa"/>
            <w:gridSpan w:val="7"/>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非环境专业选修课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授课语言</w:t>
            </w:r>
          </w:p>
          <w:p>
            <w:pPr>
              <w:jc w:val="left"/>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(Language of Instruction)</w:t>
            </w:r>
          </w:p>
        </w:tc>
        <w:tc>
          <w:tcPr>
            <w:tcW w:w="7518" w:type="dxa"/>
            <w:gridSpan w:val="7"/>
            <w:vAlign w:val="center"/>
          </w:tcPr>
          <w:p>
            <w:pPr>
              <w:jc w:val="left"/>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*开课院系</w:t>
            </w:r>
          </w:p>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（School）</w:t>
            </w:r>
          </w:p>
        </w:tc>
        <w:tc>
          <w:tcPr>
            <w:tcW w:w="7518" w:type="dxa"/>
            <w:gridSpan w:val="7"/>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环境科学与工程学院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先修课程</w:t>
            </w:r>
          </w:p>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（Prerequisite）</w:t>
            </w:r>
          </w:p>
        </w:tc>
        <w:tc>
          <w:tcPr>
            <w:tcW w:w="7518" w:type="dxa"/>
            <w:gridSpan w:val="7"/>
            <w:vAlign w:val="center"/>
          </w:tcPr>
          <w:p>
            <w:pPr>
              <w:rPr>
                <w:rFonts w:hint="eastAsia" w:asciiTheme="minorEastAsia" w:hAnsiTheme="minorEastAsia" w:eastAsiaTheme="minorEastAsia" w:cstheme="minorEastAsia"/>
                <w:color w:val="000000" w:themeColor="text1"/>
                <w:sz w:val="18"/>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有机化学、生物化学无机化学，分析化学，仪器分析；微生物学，大学物理等</w:t>
            </w:r>
          </w:p>
          <w:p>
            <w:pPr>
              <w:jc w:val="left"/>
              <w:rPr>
                <w:rFonts w:hint="eastAsia" w:asciiTheme="minorEastAsia" w:hAnsiTheme="minorEastAsia" w:eastAsiaTheme="minorEastAsia" w:cstheme="minorEastAsia"/>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0" w:type="dxa"/>
        </w:trPr>
        <w:tc>
          <w:tcPr>
            <w:tcW w:w="240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授课教师</w:t>
            </w:r>
          </w:p>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（Teacher）</w:t>
            </w:r>
          </w:p>
        </w:tc>
        <w:tc>
          <w:tcPr>
            <w:tcW w:w="2780" w:type="dxa"/>
            <w:gridSpan w:val="2"/>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王亚林</w:t>
            </w:r>
          </w:p>
        </w:tc>
        <w:tc>
          <w:tcPr>
            <w:tcW w:w="2095" w:type="dxa"/>
            <w:gridSpan w:val="2"/>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课程网址</w:t>
            </w:r>
          </w:p>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(Course Webpage)</w:t>
            </w:r>
          </w:p>
        </w:tc>
        <w:tc>
          <w:tcPr>
            <w:tcW w:w="2633" w:type="dxa"/>
            <w:gridSpan w:val="2"/>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http://sese.sjtu.edu.cn/jc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28" w:hRule="atLeast"/>
        </w:trPr>
        <w:tc>
          <w:tcPr>
            <w:tcW w:w="240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*课程简介</w:t>
            </w:r>
            <w:r>
              <w:rPr>
                <w:rFonts w:hint="eastAsia" w:asciiTheme="minorEastAsia" w:hAnsiTheme="minorEastAsia" w:eastAsiaTheme="minorEastAsia" w:cstheme="minorEastAsia"/>
                <w:color w:val="000000" w:themeColor="text1"/>
                <w:w w:val="90"/>
                <w14:textFill>
                  <w14:solidFill>
                    <w14:schemeClr w14:val="tx1"/>
                  </w14:solidFill>
                </w14:textFill>
              </w:rPr>
              <w:t>（Description）</w:t>
            </w:r>
          </w:p>
        </w:tc>
        <w:tc>
          <w:tcPr>
            <w:tcW w:w="7518" w:type="dxa"/>
            <w:gridSpan w:val="7"/>
            <w:vAlign w:val="center"/>
          </w:tcPr>
          <w:p>
            <w:pPr>
              <w:pStyle w:val="16"/>
              <w:ind w:firstLine="460"/>
              <w:jc w:val="both"/>
              <w:rPr>
                <w:rFonts w:hint="eastAsia" w:asciiTheme="minorEastAsia" w:hAnsiTheme="minorEastAsia" w:eastAsiaTheme="minorEastAsia" w:cstheme="minorEastAsia"/>
                <w:color w:val="000000" w:themeColor="text1"/>
                <w:kern w:val="2"/>
                <w:szCs w:val="22"/>
                <w14:textFill>
                  <w14:solidFill>
                    <w14:schemeClr w14:val="tx1"/>
                  </w14:solidFill>
                </w14:textFill>
              </w:rPr>
            </w:pPr>
            <w:r>
              <w:rPr>
                <w:rFonts w:hint="eastAsia" w:asciiTheme="minorEastAsia" w:hAnsiTheme="minorEastAsia" w:eastAsiaTheme="minorEastAsia" w:cstheme="minorEastAsia"/>
                <w:color w:val="000000" w:themeColor="text1"/>
                <w:kern w:val="2"/>
                <w:szCs w:val="22"/>
                <w14:textFill>
                  <w14:solidFill>
                    <w14:schemeClr w14:val="tx1"/>
                  </w14:solidFill>
                </w14:textFill>
              </w:rPr>
              <w:t>环境监测是环境科学与环境工程中的基础学科，是环境学科的“眼睛”、是判断环境质量以及执法的依据，是环境专业学生的必修课。</w:t>
            </w:r>
          </w:p>
          <w:p>
            <w:pPr>
              <w:ind w:firstLine="360" w:firstLineChars="150"/>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课程内容包括绪论、水和废水监测、空气和废气监测、固体废弃物监测、土壤质量监测、环境污染物生物监测、噪声监测、放射性污染物监测、环境监测质量保证和自动监测与简易监测技术等几大板块。</w:t>
            </w:r>
          </w:p>
          <w:p>
            <w:pPr>
              <w:ind w:firstLine="360" w:firstLineChars="150"/>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在绪论部分，介绍了环境监测的目的、发展史、分类、特点、技术，同时还有一些环境监测的基本概念，如优先污染物、污染物的相加作用、拮抗作用等。另外还有国家标准及标准的制定方法等内容。</w:t>
            </w:r>
          </w:p>
          <w:p>
            <w:pPr>
              <w:ind w:firstLine="360" w:firstLineChars="150"/>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水和废水监测是本教材的重点部分。一方面水污染在环境问题中比较突出，另一方面，学习了水和废水监测，就基本上掌握了环境监测的思路、方法和大部分技术。因为水体中污染物的种类基本涵盖了大气、固废、土壤等介质中的污染物，其监测方法大同小异，只是采样和预处理的方法有区别。</w:t>
            </w:r>
          </w:p>
          <w:p>
            <w:pPr>
              <w:ind w:firstLine="360" w:firstLineChars="150"/>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空气和废气监测、固体废弃物监测、土壤质量监测、环境污染物生物监测这几章是针对不同污染介质，介绍污染物在这些介质中的转变、迁移、累积、采样和预处理的区别，其中化学污染物和生物的监测和水体近似。</w:t>
            </w:r>
          </w:p>
          <w:p>
            <w:pPr>
              <w:ind w:firstLine="360" w:firstLineChars="150"/>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噪声监测、放射性污染物监测属于物理污染，污染特点和监测仪器与前几章差异较大，但也有联系（监测思路雷同）。</w:t>
            </w:r>
          </w:p>
          <w:p>
            <w:pPr>
              <w:ind w:firstLine="360" w:firstLineChars="150"/>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本课程中的32学时全部安排为理论课。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22" w:hRule="atLeast"/>
        </w:trPr>
        <w:tc>
          <w:tcPr>
            <w:tcW w:w="2406" w:type="dxa"/>
            <w:tcBorders>
              <w:bottom w:val="single" w:color="auto" w:sz="4" w:space="0"/>
            </w:tcBorders>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*课程简介</w:t>
            </w:r>
            <w:r>
              <w:rPr>
                <w:rFonts w:hint="eastAsia" w:asciiTheme="minorEastAsia" w:hAnsiTheme="minorEastAsia" w:eastAsiaTheme="minorEastAsia" w:cstheme="minorEastAsia"/>
                <w:color w:val="000000" w:themeColor="text1"/>
                <w:w w:val="90"/>
                <w14:textFill>
                  <w14:solidFill>
                    <w14:schemeClr w14:val="tx1"/>
                  </w14:solidFill>
                </w14:textFill>
              </w:rPr>
              <w:t>（Description）</w:t>
            </w:r>
          </w:p>
        </w:tc>
        <w:tc>
          <w:tcPr>
            <w:tcW w:w="7518" w:type="dxa"/>
            <w:gridSpan w:val="7"/>
            <w:tcBorders>
              <w:bottom w:val="single" w:color="auto" w:sz="4" w:space="0"/>
            </w:tcBorders>
            <w:vAlign w:val="center"/>
          </w:tcPr>
          <w:p>
            <w:pPr>
              <w:ind w:firstLine="180" w:firstLineChars="75"/>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Environmental monitoring is a basic subject in environmental science and environmental engineering. It is one of the most important subjects in environmental disciplines, the basis for judging environmental quality and law enforcement, and a compulsory course for environmental students.</w:t>
            </w:r>
          </w:p>
          <w:p>
            <w:pPr>
              <w:ind w:firstLine="321" w:firstLineChars="134"/>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The content of this course includes introduction, water and waste water monitoring, air and exhaust gas monitoring, solid waste monitoring, soil quality monitoring, biological monitoring of environmental pollutants, noise monitoring, monitoring of radioactive pollutants, quality assurance of environmental monitoring, and auto-monitoring and simple monitoring.</w:t>
            </w:r>
          </w:p>
          <w:p>
            <w:pPr>
              <w:ind w:firstLine="321" w:firstLineChars="134"/>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In the introduction section, the purpose, development history, classification, characteristics, and technology of environmental monitoring are introduced, as well as some basic concepts of environmental monitoring, such as priority pollutants, the additive and antagonistic effectsof pollutants. There are also other methods for the development of national standards.</w:t>
            </w:r>
          </w:p>
          <w:p>
            <w:pPr>
              <w:ind w:firstLine="321" w:firstLineChars="134"/>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Water and wastewater monitoring is an important part of thiscourse. On the one hand, water pollution is very prominent in environmental problems. On the other hand, after studying this course, it will be basically grasped of  the ideas, methods and most technologies of environmental monitoring. Because the types of pollutants in water basically cover the media of atmosphere, waste and soil, the monitoring methods of pollutants are similar, but only the methods of sampling and pretreatment are different.</w:t>
            </w:r>
          </w:p>
          <w:p>
            <w:pPr>
              <w:ind w:firstLine="321" w:firstLineChars="134"/>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The chapters on air and waste gas monitoring, solid waste monitoring, soil quality monitoring, and biological monitoring of environmental pollutants are for different contaminating media, and the differences in the transformation, migration, accumulation, sampling and pretreatment of pollutants in these media are introduced. And monitoring of chemical contaminants and organisms and approximation of water.</w:t>
            </w:r>
          </w:p>
          <w:p>
            <w:pPr>
              <w:ind w:firstLine="321" w:firstLineChars="134"/>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Noise monitoring and radioactive pollutant monitoring are physical pollution. The pollution characteristics and monitoring instruments are quite different from the previous chapters, but they are also related (monitoring ideas are similar).</w:t>
            </w:r>
          </w:p>
          <w:p>
            <w:pPr>
              <w:jc w:val="left"/>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All of the 32  hours in this course are all arranged in theory classes.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trPr>
        <w:tc>
          <w:tcPr>
            <w:tcW w:w="9924" w:type="dxa"/>
            <w:gridSpan w:val="8"/>
            <w:shd w:val="clear" w:color="auto" w:fill="D8D8D8" w:themeFill="background1" w:themeFillShade="D9"/>
            <w:vAlign w:val="center"/>
          </w:tcPr>
          <w:p>
            <w:pP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课程教学大纲（course syllabus）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6" w:hRule="atLeast"/>
        </w:trPr>
        <w:tc>
          <w:tcPr>
            <w:tcW w:w="2406" w:type="dxa"/>
            <w:vAlign w:val="center"/>
          </w:tcPr>
          <w:p>
            <w:pPr>
              <w:jc w:val="left"/>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*学习目标(Learning Outcomes)</w:t>
            </w:r>
          </w:p>
        </w:tc>
        <w:tc>
          <w:tcPr>
            <w:tcW w:w="7518" w:type="dxa"/>
            <w:gridSpan w:val="7"/>
            <w:vAlign w:val="center"/>
          </w:tcPr>
          <w:p>
            <w:pP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1．</w:t>
            </w:r>
            <w:r>
              <w:rPr>
                <w:rFonts w:hint="eastAsia" w:asciiTheme="minorEastAsia" w:hAnsiTheme="minorEastAsia" w:eastAsiaTheme="minorEastAsia" w:cstheme="minorEastAsia"/>
                <w:color w:val="000000" w:themeColor="text1"/>
                <w:sz w:val="24"/>
                <w14:textFill>
                  <w14:solidFill>
                    <w14:schemeClr w14:val="tx1"/>
                  </w14:solidFill>
                </w14:textFill>
              </w:rPr>
              <w:t>本课程教学目的是使学生掌握环境监测的基本概念、国家标准的查阅使用</w:t>
            </w:r>
          </w:p>
          <w:p>
            <w:pP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2．</w:t>
            </w:r>
            <w:r>
              <w:rPr>
                <w:rFonts w:hint="eastAsia" w:asciiTheme="minorEastAsia" w:hAnsiTheme="minorEastAsia" w:eastAsiaTheme="minorEastAsia" w:cstheme="minorEastAsia"/>
                <w:color w:val="000000" w:themeColor="text1"/>
                <w:sz w:val="24"/>
                <w14:textFill>
                  <w14:solidFill>
                    <w14:schemeClr w14:val="tx1"/>
                  </w14:solidFill>
                </w14:textFill>
              </w:rPr>
              <w:t>环境污染监测方案的制订</w:t>
            </w:r>
          </w:p>
          <w:p>
            <w:pPr>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3．</w:t>
            </w:r>
            <w:r>
              <w:rPr>
                <w:rFonts w:hint="eastAsia" w:asciiTheme="minorEastAsia" w:hAnsiTheme="minorEastAsia" w:eastAsiaTheme="minorEastAsia" w:cstheme="minorEastAsia"/>
                <w:color w:val="000000" w:themeColor="text1"/>
                <w:sz w:val="24"/>
                <w14:textFill>
                  <w14:solidFill>
                    <w14:schemeClr w14:val="tx1"/>
                  </w14:solidFill>
                </w14:textFill>
              </w:rPr>
              <w:t>环境污染物的采集、预处理和监测技术等专业知识，</w:t>
            </w:r>
          </w:p>
          <w:p>
            <w:pPr>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4．</w:t>
            </w:r>
            <w:r>
              <w:rPr>
                <w:rFonts w:hint="eastAsia" w:asciiTheme="minorEastAsia" w:hAnsiTheme="minorEastAsia" w:eastAsiaTheme="minorEastAsia" w:cstheme="minorEastAsia"/>
                <w:color w:val="000000" w:themeColor="text1"/>
                <w:sz w:val="24"/>
                <w14:textFill>
                  <w14:solidFill>
                    <w14:schemeClr w14:val="tx1"/>
                  </w14:solidFill>
                </w14:textFill>
              </w:rPr>
              <w:t>了解环境监测技术的最新发展现状及发展趋势，</w:t>
            </w:r>
          </w:p>
          <w:p>
            <w:pP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5. 并初步掌握利用已有知识解决环境监测问题的方法、思路。</w:t>
            </w:r>
          </w:p>
          <w:p>
            <w:pPr>
              <w:rPr>
                <w:rFonts w:hint="eastAsia" w:asciiTheme="minorEastAsia" w:hAnsiTheme="minorEastAsia" w:eastAsiaTheme="minorEastAsia" w:cstheme="minorEastAsia"/>
                <w:color w:val="000000" w:themeColor="text1"/>
                <w14:textFill>
                  <w14:solidFill>
                    <w14:schemeClr w14:val="tx1"/>
                  </w14:solidFill>
                </w14:textFill>
              </w:rPr>
            </w:pPr>
          </w:p>
          <w:p>
            <w:pPr>
              <w:rPr>
                <w:rFonts w:hint="eastAsia" w:asciiTheme="minorEastAsia" w:hAnsiTheme="minorEastAsia" w:eastAsiaTheme="minorEastAsia" w:cstheme="minorEastAsia"/>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spacing w:line="460" w:lineRule="exact"/>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*教学内容、进度安排及要求</w:t>
            </w:r>
          </w:p>
          <w:p>
            <w:pPr>
              <w:spacing w:line="460" w:lineRule="exact"/>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(Class Schedule</w:t>
            </w:r>
          </w:p>
          <w:p>
            <w:pPr>
              <w:spacing w:line="460" w:lineRule="exact"/>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&amp;Requirements)</w:t>
            </w:r>
          </w:p>
        </w:tc>
        <w:tc>
          <w:tcPr>
            <w:tcW w:w="7518" w:type="dxa"/>
            <w:gridSpan w:val="7"/>
            <w:vAlign w:val="center"/>
          </w:tcPr>
          <w:tbl>
            <w:tblPr>
              <w:tblStyle w:val="9"/>
              <w:tblW w:w="7269" w:type="dxa"/>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456"/>
              <w:gridCol w:w="816"/>
              <w:gridCol w:w="1334"/>
              <w:gridCol w:w="1355"/>
              <w:gridCol w:w="1146"/>
              <w:gridCol w:w="1162"/>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1456" w:type="dxa"/>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教学内容</w:t>
                  </w:r>
                </w:p>
              </w:tc>
              <w:tc>
                <w:tcPr>
                  <w:tcW w:w="816" w:type="dxa"/>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学时</w:t>
                  </w:r>
                </w:p>
              </w:tc>
              <w:tc>
                <w:tcPr>
                  <w:tcW w:w="1334" w:type="dxa"/>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教学方式</w:t>
                  </w:r>
                </w:p>
              </w:tc>
              <w:tc>
                <w:tcPr>
                  <w:tcW w:w="1355" w:type="dxa"/>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作业及要求</w:t>
                  </w:r>
                </w:p>
              </w:tc>
              <w:tc>
                <w:tcPr>
                  <w:tcW w:w="1146" w:type="dxa"/>
                </w:tcPr>
                <w:p>
                  <w:pP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基本要求</w:t>
                  </w:r>
                </w:p>
              </w:tc>
              <w:tc>
                <w:tcPr>
                  <w:tcW w:w="1162" w:type="dxa"/>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考查方式</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20" w:hRule="atLeast"/>
              </w:trPr>
              <w:tc>
                <w:tcPr>
                  <w:tcW w:w="145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sz w:val="18"/>
                      <w:szCs w:val="18"/>
                      <w14:textFill>
                        <w14:solidFill>
                          <w14:schemeClr w14:val="tx1"/>
                        </w14:solidFill>
                      </w14:textFill>
                    </w:rPr>
                    <w:t>第一章：绪论第一----三节环境检测目的和分类、环境监测特点、检测技术概述、环境标准、第二章水和废水监测第一、二节概述水质监测方案的制订</w:t>
                  </w:r>
                </w:p>
              </w:tc>
              <w:tc>
                <w:tcPr>
                  <w:tcW w:w="81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2</w:t>
                  </w:r>
                </w:p>
              </w:tc>
              <w:tc>
                <w:tcPr>
                  <w:tcW w:w="1334"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讲课</w:t>
                  </w:r>
                </w:p>
              </w:tc>
              <w:tc>
                <w:tcPr>
                  <w:tcW w:w="1355"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sz w:val="18"/>
                      <w:szCs w:val="18"/>
                      <w14:textFill>
                        <w14:solidFill>
                          <w14:schemeClr w14:val="tx1"/>
                        </w14:solidFill>
                      </w14:textFill>
                    </w:rPr>
                    <w:t>学习查阅环境标准，提交一份感兴趣的污染物监测标准</w:t>
                  </w:r>
                </w:p>
              </w:tc>
              <w:tc>
                <w:tcPr>
                  <w:tcW w:w="114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水、大气、土壤、固废、噪声等标准</w:t>
                  </w:r>
                </w:p>
              </w:tc>
              <w:tc>
                <w:tcPr>
                  <w:tcW w:w="1162"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提问、讨论</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145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sz w:val="18"/>
                      <w:szCs w:val="18"/>
                      <w14:textFill>
                        <w14:solidFill>
                          <w14:schemeClr w14:val="tx1"/>
                        </w14:solidFill>
                      </w14:textFill>
                    </w:rPr>
                    <w:t>第二章水和废水监测第一、二节概述、水质监测方案的制订</w:t>
                  </w:r>
                </w:p>
              </w:tc>
              <w:tc>
                <w:tcPr>
                  <w:tcW w:w="81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2</w:t>
                  </w:r>
                </w:p>
              </w:tc>
              <w:tc>
                <w:tcPr>
                  <w:tcW w:w="1334"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讲课</w:t>
                  </w:r>
                </w:p>
              </w:tc>
              <w:tc>
                <w:tcPr>
                  <w:tcW w:w="1355"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p>
              </w:tc>
              <w:tc>
                <w:tcPr>
                  <w:tcW w:w="114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p>
              </w:tc>
              <w:tc>
                <w:tcPr>
                  <w:tcW w:w="1162"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rPr>
              <w:tc>
                <w:tcPr>
                  <w:tcW w:w="145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sz w:val="18"/>
                      <w:szCs w:val="18"/>
                      <w14:textFill>
                        <w14:solidFill>
                          <w14:schemeClr w14:val="tx1"/>
                        </w14:solidFill>
                      </w14:textFill>
                    </w:rPr>
                    <w:t>第三、四节水样的采集和保存、水样的预处理</w:t>
                  </w:r>
                </w:p>
              </w:tc>
              <w:tc>
                <w:tcPr>
                  <w:tcW w:w="81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2</w:t>
                  </w:r>
                </w:p>
              </w:tc>
              <w:tc>
                <w:tcPr>
                  <w:tcW w:w="1334"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讲课</w:t>
                  </w:r>
                </w:p>
              </w:tc>
              <w:tc>
                <w:tcPr>
                  <w:tcW w:w="1355"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sz w:val="18"/>
                      <w:szCs w:val="18"/>
                      <w14:textFill>
                        <w14:solidFill>
                          <w14:schemeClr w14:val="tx1"/>
                        </w14:solidFill>
                      </w14:textFill>
                    </w:rPr>
                    <w:t>针对感兴趣的持久性污染物或环境问题写一篇小论文</w:t>
                  </w:r>
                </w:p>
              </w:tc>
              <w:tc>
                <w:tcPr>
                  <w:tcW w:w="114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黑名单里的或最新发现的持久性污染物</w:t>
                  </w:r>
                </w:p>
              </w:tc>
              <w:tc>
                <w:tcPr>
                  <w:tcW w:w="1162"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提问、讨论</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trPr>
              <w:tc>
                <w:tcPr>
                  <w:tcW w:w="145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sz w:val="18"/>
                      <w:szCs w:val="18"/>
                      <w14:textFill>
                        <w14:solidFill>
                          <w14:schemeClr w14:val="tx1"/>
                        </w14:solidFill>
                      </w14:textFill>
                    </w:rPr>
                    <w:t>第五节非金属无机物的测定</w:t>
                  </w:r>
                </w:p>
              </w:tc>
              <w:tc>
                <w:tcPr>
                  <w:tcW w:w="81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2</w:t>
                  </w:r>
                </w:p>
              </w:tc>
              <w:tc>
                <w:tcPr>
                  <w:tcW w:w="1334"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讲课</w:t>
                  </w:r>
                </w:p>
              </w:tc>
              <w:tc>
                <w:tcPr>
                  <w:tcW w:w="1355"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p>
              </w:tc>
              <w:tc>
                <w:tcPr>
                  <w:tcW w:w="114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p>
              </w:tc>
              <w:tc>
                <w:tcPr>
                  <w:tcW w:w="1162"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48" w:hRule="atLeast"/>
              </w:trPr>
              <w:tc>
                <w:tcPr>
                  <w:tcW w:w="145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sz w:val="18"/>
                      <w:szCs w:val="18"/>
                      <w14:textFill>
                        <w14:solidFill>
                          <w14:schemeClr w14:val="tx1"/>
                        </w14:solidFill>
                      </w14:textFill>
                    </w:rPr>
                    <w:t>第六、七节金属化合物、非金属无机物的测定</w:t>
                  </w:r>
                </w:p>
              </w:tc>
              <w:tc>
                <w:tcPr>
                  <w:tcW w:w="81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2</w:t>
                  </w:r>
                </w:p>
              </w:tc>
              <w:tc>
                <w:tcPr>
                  <w:tcW w:w="1334"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讲课</w:t>
                  </w:r>
                </w:p>
              </w:tc>
              <w:tc>
                <w:tcPr>
                  <w:tcW w:w="1355"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p>
              </w:tc>
              <w:tc>
                <w:tcPr>
                  <w:tcW w:w="114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结合实验课教学内容</w:t>
                  </w:r>
                </w:p>
              </w:tc>
              <w:tc>
                <w:tcPr>
                  <w:tcW w:w="1162"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sz w:val="18"/>
                      <w:szCs w:val="18"/>
                      <w14:textFill>
                        <w14:solidFill>
                          <w14:schemeClr w14:val="tx1"/>
                        </w14:solidFill>
                      </w14:textFill>
                    </w:rPr>
                    <w:t>提问、讨论</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45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sz w:val="18"/>
                      <w:szCs w:val="18"/>
                      <w14:textFill>
                        <w14:solidFill>
                          <w14:schemeClr w14:val="tx1"/>
                        </w14:solidFill>
                      </w14:textFill>
                    </w:rPr>
                    <w:t>第三章：大气和废气监测第一节大气污染基本常识第二节大气污染监测方案的制订</w:t>
                  </w:r>
                </w:p>
              </w:tc>
              <w:tc>
                <w:tcPr>
                  <w:tcW w:w="81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2</w:t>
                  </w:r>
                </w:p>
              </w:tc>
              <w:tc>
                <w:tcPr>
                  <w:tcW w:w="1334"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讲课</w:t>
                  </w:r>
                </w:p>
              </w:tc>
              <w:tc>
                <w:tcPr>
                  <w:tcW w:w="1355"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p>
              </w:tc>
              <w:tc>
                <w:tcPr>
                  <w:tcW w:w="114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p>
              </w:tc>
              <w:tc>
                <w:tcPr>
                  <w:tcW w:w="1162"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0" w:hRule="atLeast"/>
              </w:trPr>
              <w:tc>
                <w:tcPr>
                  <w:tcW w:w="145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sz w:val="18"/>
                      <w:szCs w:val="18"/>
                      <w14:textFill>
                        <w14:solidFill>
                          <w14:schemeClr w14:val="tx1"/>
                        </w14:solidFill>
                      </w14:textFill>
                    </w:rPr>
                    <w:t>第三节大气样品的采集方法和采样仪器第四节气态和蒸汽污染物质的测定第五节颗粒物的测定第六节大气降水监测第七节污染源监测</w:t>
                  </w:r>
                </w:p>
              </w:tc>
              <w:tc>
                <w:tcPr>
                  <w:tcW w:w="81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2</w:t>
                  </w:r>
                </w:p>
              </w:tc>
              <w:tc>
                <w:tcPr>
                  <w:tcW w:w="1334"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讲课</w:t>
                  </w:r>
                </w:p>
              </w:tc>
              <w:tc>
                <w:tcPr>
                  <w:tcW w:w="1355"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p>
              </w:tc>
              <w:tc>
                <w:tcPr>
                  <w:tcW w:w="114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对比水监测预处理的差异</w:t>
                  </w:r>
                </w:p>
              </w:tc>
              <w:tc>
                <w:tcPr>
                  <w:tcW w:w="1162"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提问、讨论</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trPr>
              <w:tc>
                <w:tcPr>
                  <w:tcW w:w="145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sz w:val="18"/>
                      <w:szCs w:val="18"/>
                      <w14:textFill>
                        <w14:solidFill>
                          <w14:schemeClr w14:val="tx1"/>
                        </w14:solidFill>
                      </w14:textFill>
                    </w:rPr>
                    <w:t>第八节大气污染生物监测法第九节标准气体的配制</w:t>
                  </w:r>
                </w:p>
              </w:tc>
              <w:tc>
                <w:tcPr>
                  <w:tcW w:w="81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2</w:t>
                  </w:r>
                </w:p>
              </w:tc>
              <w:tc>
                <w:tcPr>
                  <w:tcW w:w="1334"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讲课</w:t>
                  </w:r>
                </w:p>
              </w:tc>
              <w:tc>
                <w:tcPr>
                  <w:tcW w:w="1355"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sz w:val="18"/>
                      <w:szCs w:val="18"/>
                      <w14:textFill>
                        <w14:solidFill>
                          <w14:schemeClr w14:val="tx1"/>
                        </w14:solidFill>
                      </w14:textFill>
                    </w:rPr>
                    <w:t>针对交大校园设计大气环境监测方案。</w:t>
                  </w:r>
                </w:p>
              </w:tc>
              <w:tc>
                <w:tcPr>
                  <w:tcW w:w="114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p>
              </w:tc>
              <w:tc>
                <w:tcPr>
                  <w:tcW w:w="1162"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2" w:hRule="atLeast"/>
              </w:trPr>
              <w:tc>
                <w:tcPr>
                  <w:tcW w:w="145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sz w:val="18"/>
                      <w:szCs w:val="18"/>
                      <w14:textFill>
                        <w14:solidFill>
                          <w14:schemeClr w14:val="tx1"/>
                        </w14:solidFill>
                      </w14:textFill>
                    </w:rPr>
                    <w:t>期中测试第四章：固体废物监测第一节工业有害固体废物的定义和分类第二节固体废物样品的采样和制备</w:t>
                  </w:r>
                </w:p>
              </w:tc>
              <w:tc>
                <w:tcPr>
                  <w:tcW w:w="81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2</w:t>
                  </w:r>
                </w:p>
              </w:tc>
              <w:tc>
                <w:tcPr>
                  <w:tcW w:w="1334"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讲课</w:t>
                  </w:r>
                </w:p>
              </w:tc>
              <w:tc>
                <w:tcPr>
                  <w:tcW w:w="1355"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调研国内外可回收固废的回收途径</w:t>
                  </w:r>
                </w:p>
              </w:tc>
              <w:tc>
                <w:tcPr>
                  <w:tcW w:w="114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p>
              </w:tc>
              <w:tc>
                <w:tcPr>
                  <w:tcW w:w="1162"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提问、讨论</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trPr>
              <w:tc>
                <w:tcPr>
                  <w:tcW w:w="145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sz w:val="18"/>
                      <w:szCs w:val="18"/>
                      <w14:textFill>
                        <w14:solidFill>
                          <w14:schemeClr w14:val="tx1"/>
                        </w14:solidFill>
                      </w14:textFill>
                    </w:rPr>
                    <w:t>第三节有害特性的监测方法第四节生活垃圾和卫生保健机构废弃物的监测</w:t>
                  </w:r>
                </w:p>
              </w:tc>
              <w:tc>
                <w:tcPr>
                  <w:tcW w:w="81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2</w:t>
                  </w:r>
                </w:p>
              </w:tc>
              <w:tc>
                <w:tcPr>
                  <w:tcW w:w="1334"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讲课</w:t>
                  </w:r>
                </w:p>
              </w:tc>
              <w:tc>
                <w:tcPr>
                  <w:tcW w:w="1355"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p>
              </w:tc>
              <w:tc>
                <w:tcPr>
                  <w:tcW w:w="114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p>
              </w:tc>
              <w:tc>
                <w:tcPr>
                  <w:tcW w:w="1162"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trPr>
              <w:tc>
                <w:tcPr>
                  <w:tcW w:w="145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sz w:val="18"/>
                      <w:szCs w:val="18"/>
                      <w14:textFill>
                        <w14:solidFill>
                          <w14:schemeClr w14:val="tx1"/>
                        </w14:solidFill>
                      </w14:textFill>
                    </w:rPr>
                    <w:t>第五章土壤质量监测第一节土壤基本知识第二节土壤环境质量监测方案第三节土壤样品的采集与加工管理</w:t>
                  </w:r>
                </w:p>
              </w:tc>
              <w:tc>
                <w:tcPr>
                  <w:tcW w:w="81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2</w:t>
                  </w:r>
                </w:p>
              </w:tc>
              <w:tc>
                <w:tcPr>
                  <w:tcW w:w="1334"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讲课</w:t>
                  </w:r>
                </w:p>
              </w:tc>
              <w:tc>
                <w:tcPr>
                  <w:tcW w:w="1355"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了解我国土壤新政策</w:t>
                  </w:r>
                </w:p>
              </w:tc>
              <w:tc>
                <w:tcPr>
                  <w:tcW w:w="114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p>
              </w:tc>
              <w:tc>
                <w:tcPr>
                  <w:tcW w:w="1162"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提问、讨论</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trPr>
              <w:tc>
                <w:tcPr>
                  <w:tcW w:w="145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sz w:val="18"/>
                      <w:szCs w:val="18"/>
                      <w14:textFill>
                        <w14:solidFill>
                          <w14:schemeClr w14:val="tx1"/>
                        </w14:solidFill>
                      </w14:textFill>
                    </w:rPr>
                    <w:t>第四节土壤样品的预处理第五节土壤污染物的测定</w:t>
                  </w:r>
                </w:p>
              </w:tc>
              <w:tc>
                <w:tcPr>
                  <w:tcW w:w="81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2</w:t>
                  </w:r>
                </w:p>
              </w:tc>
              <w:tc>
                <w:tcPr>
                  <w:tcW w:w="1334"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讲课</w:t>
                  </w:r>
                </w:p>
              </w:tc>
              <w:tc>
                <w:tcPr>
                  <w:tcW w:w="1355"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sz w:val="18"/>
                      <w:szCs w:val="18"/>
                      <w14:textFill>
                        <w14:solidFill>
                          <w14:schemeClr w14:val="tx1"/>
                        </w14:solidFill>
                      </w14:textFill>
                    </w:rPr>
                    <w:t>从可持续发展的角度论述我国农用土地在施肥、灌溉、秸秆利用、农药使用等方面的问题所在及改善方案</w:t>
                  </w:r>
                </w:p>
              </w:tc>
              <w:tc>
                <w:tcPr>
                  <w:tcW w:w="114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p>
              </w:tc>
              <w:tc>
                <w:tcPr>
                  <w:tcW w:w="1162"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提问、讨论</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trPr>
              <w:tc>
                <w:tcPr>
                  <w:tcW w:w="145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sz w:val="18"/>
                      <w:szCs w:val="18"/>
                      <w14:textFill>
                        <w14:solidFill>
                          <w14:schemeClr w14:val="tx1"/>
                        </w14:solidFill>
                      </w14:textFill>
                    </w:rPr>
                    <w:t>第六章环境污染生物监测第一----四节水环境污染生物监测、空气污染生物监测、生物污染监测、生态监测</w:t>
                  </w:r>
                </w:p>
              </w:tc>
              <w:tc>
                <w:tcPr>
                  <w:tcW w:w="81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4</w:t>
                  </w:r>
                </w:p>
              </w:tc>
              <w:tc>
                <w:tcPr>
                  <w:tcW w:w="1334"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讲课</w:t>
                  </w:r>
                </w:p>
              </w:tc>
              <w:tc>
                <w:tcPr>
                  <w:tcW w:w="1355"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思考：在日常饮食中可以注意哪些</w:t>
                  </w:r>
                </w:p>
              </w:tc>
              <w:tc>
                <w:tcPr>
                  <w:tcW w:w="114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p>
              </w:tc>
              <w:tc>
                <w:tcPr>
                  <w:tcW w:w="1162"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提问及讨论</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trPr>
              <w:tc>
                <w:tcPr>
                  <w:tcW w:w="145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sz w:val="18"/>
                      <w:szCs w:val="18"/>
                      <w14:textFill>
                        <w14:solidFill>
                          <w14:schemeClr w14:val="tx1"/>
                        </w14:solidFill>
                      </w14:textFill>
                    </w:rPr>
                    <w:t>第七章噪声监测第一节声音和噪声第二节声音的物理特征和量度第三节噪声的物理量度和主观听觉的关系第四节噪声的测量仪器</w:t>
                  </w:r>
                </w:p>
              </w:tc>
              <w:tc>
                <w:tcPr>
                  <w:tcW w:w="81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2</w:t>
                  </w:r>
                </w:p>
              </w:tc>
              <w:tc>
                <w:tcPr>
                  <w:tcW w:w="1334"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讲课</w:t>
                  </w:r>
                </w:p>
              </w:tc>
              <w:tc>
                <w:tcPr>
                  <w:tcW w:w="1355"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绿色立体植被对降噪、降尘、保温、保湿、降二氧化碳等的效果调查</w:t>
                  </w:r>
                </w:p>
              </w:tc>
              <w:tc>
                <w:tcPr>
                  <w:tcW w:w="114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p>
              </w:tc>
              <w:tc>
                <w:tcPr>
                  <w:tcW w:w="1162"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提问及讨论</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trPr>
              <w:tc>
                <w:tcPr>
                  <w:tcW w:w="145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sz w:val="18"/>
                      <w:szCs w:val="18"/>
                      <w14:textFill>
                        <w14:solidFill>
                          <w14:schemeClr w14:val="tx1"/>
                        </w14:solidFill>
                      </w14:textFill>
                    </w:rPr>
                    <w:t>第五节噪声标准第六节噪声监测第七节振动及测量方法第八章环境中放射性污染监测第一节基础知识第二节环境中的放射性第三节放射性辐射防护标准第四节放射性测量实验室和检测仪器第五节放射性监测</w:t>
                  </w:r>
                </w:p>
              </w:tc>
              <w:tc>
                <w:tcPr>
                  <w:tcW w:w="81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2</w:t>
                  </w:r>
                </w:p>
              </w:tc>
              <w:tc>
                <w:tcPr>
                  <w:tcW w:w="1334"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讲课</w:t>
                  </w:r>
                </w:p>
              </w:tc>
              <w:tc>
                <w:tcPr>
                  <w:tcW w:w="1355"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思考：室内装修等注意哪些</w:t>
                  </w:r>
                </w:p>
              </w:tc>
              <w:tc>
                <w:tcPr>
                  <w:tcW w:w="114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p>
              </w:tc>
              <w:tc>
                <w:tcPr>
                  <w:tcW w:w="1162"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提问及讨论</w:t>
                  </w:r>
                </w:p>
              </w:tc>
            </w:tr>
          </w:tbl>
          <w:p>
            <w:pPr>
              <w:rPr>
                <w:rFonts w:hint="eastAsia" w:asciiTheme="minorEastAsia" w:hAnsiTheme="minorEastAsia" w:eastAsiaTheme="minorEastAsia" w:cstheme="minorEastAsia"/>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240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*考核方式</w:t>
            </w:r>
          </w:p>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(Grading)</w:t>
            </w:r>
          </w:p>
        </w:tc>
        <w:tc>
          <w:tcPr>
            <w:tcW w:w="7518" w:type="dxa"/>
            <w:gridSpan w:val="7"/>
            <w:vAlign w:val="center"/>
          </w:tcPr>
          <w:p>
            <w:pPr>
              <w:jc w:val="left"/>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出勤10%，提问、讨论30%、综合性方案设计60%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6" w:hRule="atLeast"/>
        </w:trPr>
        <w:tc>
          <w:tcPr>
            <w:tcW w:w="240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*教材或参考资料</w:t>
            </w:r>
          </w:p>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(Textbooks &amp; Other Materials)</w:t>
            </w:r>
          </w:p>
        </w:tc>
        <w:tc>
          <w:tcPr>
            <w:tcW w:w="7518" w:type="dxa"/>
            <w:gridSpan w:val="7"/>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《环境监测》奚旦立第四版高教出版社；国际标准；期刊等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240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其它</w:t>
            </w:r>
          </w:p>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（More）</w:t>
            </w:r>
          </w:p>
        </w:tc>
        <w:tc>
          <w:tcPr>
            <w:tcW w:w="7518" w:type="dxa"/>
            <w:gridSpan w:val="7"/>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240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备注</w:t>
            </w:r>
          </w:p>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（Notes）</w:t>
            </w:r>
          </w:p>
        </w:tc>
        <w:tc>
          <w:tcPr>
            <w:tcW w:w="7518" w:type="dxa"/>
            <w:gridSpan w:val="7"/>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p>
        </w:tc>
      </w:tr>
      <w:bookmarkEnd w:id="0"/>
    </w:tbl>
    <w:p>
      <w:pPr>
        <w:widowControl/>
        <w:jc w:val="left"/>
      </w:pPr>
    </w:p>
    <w:p>
      <w:pPr>
        <w:spacing w:beforeLines="100"/>
        <w:jc w:val="left"/>
      </w:pPr>
      <w:r>
        <w:rPr>
          <w:rFonts w:hint="eastAsia"/>
        </w:rPr>
        <w:t>备注说明：</w:t>
      </w:r>
    </w:p>
    <w:p>
      <w:pPr>
        <w:spacing w:line="400" w:lineRule="exact"/>
        <w:ind w:firstLine="420" w:firstLineChars="200"/>
      </w:pPr>
      <w:r>
        <w:rPr>
          <w:rFonts w:hint="eastAsia"/>
        </w:rPr>
        <w:t>1.课程大纲一般为教师网上填写，填写要求会自动提示；对于新开课程，需要填着纸质大纲，并经院系教学委员会或专业委员会通过。</w:t>
      </w:r>
    </w:p>
    <w:p>
      <w:pPr>
        <w:spacing w:line="400" w:lineRule="exact"/>
        <w:ind w:firstLine="420" w:firstLineChars="200"/>
      </w:pPr>
      <w:r>
        <w:rPr>
          <w:rFonts w:hint="eastAsia"/>
        </w:rPr>
        <w:t>2．带*内容为必填项。</w:t>
      </w:r>
    </w:p>
    <w:p>
      <w:pPr>
        <w:spacing w:line="400" w:lineRule="exact"/>
        <w:ind w:firstLine="420" w:firstLineChars="200"/>
      </w:pPr>
      <w:r>
        <w:rPr>
          <w:rFonts w:hint="eastAsia"/>
        </w:rPr>
        <w:t>3．课程简介字数为300-500字；课程大纲以表述清楚教学安排为宜，字数不限。</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Symeteo">
    <w:altName w:val="Segoe Print"/>
    <w:panose1 w:val="00000000000000000000"/>
    <w:charset w:val="00"/>
    <w:family w:val="auto"/>
    <w:pitch w:val="default"/>
    <w:sig w:usb0="00000000" w:usb1="00000000" w:usb2="00000000" w:usb3="00000000" w:csb0="000001FF" w:csb1="00000000"/>
  </w:font>
  <w:font w:name="宋体S..⒆..">
    <w:altName w:val="宋体"/>
    <w:panose1 w:val="00000000000000000000"/>
    <w:charset w:val="86"/>
    <w:family w:val="roma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6061D"/>
    <w:rsid w:val="00016D09"/>
    <w:rsid w:val="00022B80"/>
    <w:rsid w:val="00046DFD"/>
    <w:rsid w:val="00051DFC"/>
    <w:rsid w:val="00054296"/>
    <w:rsid w:val="0006061D"/>
    <w:rsid w:val="00065C8F"/>
    <w:rsid w:val="000A3107"/>
    <w:rsid w:val="000A548F"/>
    <w:rsid w:val="000A6869"/>
    <w:rsid w:val="000B4F6B"/>
    <w:rsid w:val="000B5B61"/>
    <w:rsid w:val="000C4BA4"/>
    <w:rsid w:val="00124F58"/>
    <w:rsid w:val="00133ABB"/>
    <w:rsid w:val="001358D3"/>
    <w:rsid w:val="001473BE"/>
    <w:rsid w:val="00152B75"/>
    <w:rsid w:val="001552DE"/>
    <w:rsid w:val="00160181"/>
    <w:rsid w:val="0016346D"/>
    <w:rsid w:val="00184E44"/>
    <w:rsid w:val="001A4FE4"/>
    <w:rsid w:val="001C7AD8"/>
    <w:rsid w:val="001D0BF5"/>
    <w:rsid w:val="001E73FD"/>
    <w:rsid w:val="00207DEF"/>
    <w:rsid w:val="00227A34"/>
    <w:rsid w:val="0026569D"/>
    <w:rsid w:val="0028182B"/>
    <w:rsid w:val="0028463A"/>
    <w:rsid w:val="002A157D"/>
    <w:rsid w:val="002A6549"/>
    <w:rsid w:val="002A7980"/>
    <w:rsid w:val="002B6537"/>
    <w:rsid w:val="002F5EEE"/>
    <w:rsid w:val="003036D4"/>
    <w:rsid w:val="003172AD"/>
    <w:rsid w:val="003237D3"/>
    <w:rsid w:val="00341CDD"/>
    <w:rsid w:val="00366702"/>
    <w:rsid w:val="003715C0"/>
    <w:rsid w:val="00377008"/>
    <w:rsid w:val="003948E3"/>
    <w:rsid w:val="00395246"/>
    <w:rsid w:val="00396626"/>
    <w:rsid w:val="003C4422"/>
    <w:rsid w:val="003D10F5"/>
    <w:rsid w:val="003E6521"/>
    <w:rsid w:val="003E65CC"/>
    <w:rsid w:val="003F6598"/>
    <w:rsid w:val="00446816"/>
    <w:rsid w:val="00461685"/>
    <w:rsid w:val="00474457"/>
    <w:rsid w:val="00487AD7"/>
    <w:rsid w:val="004921CE"/>
    <w:rsid w:val="004D4153"/>
    <w:rsid w:val="004D62C4"/>
    <w:rsid w:val="004E283B"/>
    <w:rsid w:val="00511D50"/>
    <w:rsid w:val="00520B0A"/>
    <w:rsid w:val="00565461"/>
    <w:rsid w:val="00577467"/>
    <w:rsid w:val="00577ECF"/>
    <w:rsid w:val="005970D3"/>
    <w:rsid w:val="005B52BE"/>
    <w:rsid w:val="005F49AB"/>
    <w:rsid w:val="0061590F"/>
    <w:rsid w:val="00633A87"/>
    <w:rsid w:val="00636B4B"/>
    <w:rsid w:val="00656964"/>
    <w:rsid w:val="006626C8"/>
    <w:rsid w:val="00663B60"/>
    <w:rsid w:val="00686943"/>
    <w:rsid w:val="006A13AE"/>
    <w:rsid w:val="006B1021"/>
    <w:rsid w:val="006D3645"/>
    <w:rsid w:val="006F1849"/>
    <w:rsid w:val="006F49C1"/>
    <w:rsid w:val="00707583"/>
    <w:rsid w:val="0074127F"/>
    <w:rsid w:val="007546C3"/>
    <w:rsid w:val="00784A11"/>
    <w:rsid w:val="00795F2D"/>
    <w:rsid w:val="007A19E1"/>
    <w:rsid w:val="007B2EFB"/>
    <w:rsid w:val="007C13D8"/>
    <w:rsid w:val="007D4099"/>
    <w:rsid w:val="007E4B77"/>
    <w:rsid w:val="008158EA"/>
    <w:rsid w:val="00823ACC"/>
    <w:rsid w:val="00825C1B"/>
    <w:rsid w:val="0083467C"/>
    <w:rsid w:val="00842EBB"/>
    <w:rsid w:val="008465DC"/>
    <w:rsid w:val="00857453"/>
    <w:rsid w:val="00882579"/>
    <w:rsid w:val="00890F38"/>
    <w:rsid w:val="008954B7"/>
    <w:rsid w:val="008A7203"/>
    <w:rsid w:val="00901F86"/>
    <w:rsid w:val="00904EBA"/>
    <w:rsid w:val="0090604F"/>
    <w:rsid w:val="009202E6"/>
    <w:rsid w:val="00931F97"/>
    <w:rsid w:val="009325A7"/>
    <w:rsid w:val="0094583E"/>
    <w:rsid w:val="009521A6"/>
    <w:rsid w:val="009744FC"/>
    <w:rsid w:val="00983A28"/>
    <w:rsid w:val="009A0D3D"/>
    <w:rsid w:val="009A0FEB"/>
    <w:rsid w:val="009A13D5"/>
    <w:rsid w:val="009C2014"/>
    <w:rsid w:val="009E73FA"/>
    <w:rsid w:val="00A3078F"/>
    <w:rsid w:val="00A37564"/>
    <w:rsid w:val="00A54CA9"/>
    <w:rsid w:val="00A5516D"/>
    <w:rsid w:val="00A61B1F"/>
    <w:rsid w:val="00A960D0"/>
    <w:rsid w:val="00AC1B9C"/>
    <w:rsid w:val="00AC5156"/>
    <w:rsid w:val="00AD0114"/>
    <w:rsid w:val="00AD3765"/>
    <w:rsid w:val="00AD7DBD"/>
    <w:rsid w:val="00AD7E02"/>
    <w:rsid w:val="00B05FFC"/>
    <w:rsid w:val="00B10595"/>
    <w:rsid w:val="00B20254"/>
    <w:rsid w:val="00B328AD"/>
    <w:rsid w:val="00B41900"/>
    <w:rsid w:val="00B74383"/>
    <w:rsid w:val="00B970D8"/>
    <w:rsid w:val="00BE022B"/>
    <w:rsid w:val="00C46B87"/>
    <w:rsid w:val="00C73038"/>
    <w:rsid w:val="00C8061C"/>
    <w:rsid w:val="00C85828"/>
    <w:rsid w:val="00CB685A"/>
    <w:rsid w:val="00CC20B9"/>
    <w:rsid w:val="00CF32A8"/>
    <w:rsid w:val="00CF7312"/>
    <w:rsid w:val="00D07A7D"/>
    <w:rsid w:val="00D130CC"/>
    <w:rsid w:val="00D1758F"/>
    <w:rsid w:val="00D23BC7"/>
    <w:rsid w:val="00D41A07"/>
    <w:rsid w:val="00D43323"/>
    <w:rsid w:val="00D47A4D"/>
    <w:rsid w:val="00D644B5"/>
    <w:rsid w:val="00D73A3C"/>
    <w:rsid w:val="00D744A7"/>
    <w:rsid w:val="00D85250"/>
    <w:rsid w:val="00DB0E0A"/>
    <w:rsid w:val="00DB5794"/>
    <w:rsid w:val="00DC7BDC"/>
    <w:rsid w:val="00DE2459"/>
    <w:rsid w:val="00DF671F"/>
    <w:rsid w:val="00E025AD"/>
    <w:rsid w:val="00E06426"/>
    <w:rsid w:val="00E30BA9"/>
    <w:rsid w:val="00E43921"/>
    <w:rsid w:val="00E54B0F"/>
    <w:rsid w:val="00E90402"/>
    <w:rsid w:val="00E953DB"/>
    <w:rsid w:val="00EA259D"/>
    <w:rsid w:val="00EB20C0"/>
    <w:rsid w:val="00EC1070"/>
    <w:rsid w:val="00ED2940"/>
    <w:rsid w:val="00ED30B5"/>
    <w:rsid w:val="00F262EB"/>
    <w:rsid w:val="00F36CA3"/>
    <w:rsid w:val="00F5505B"/>
    <w:rsid w:val="00F746B7"/>
    <w:rsid w:val="00FA660B"/>
    <w:rsid w:val="00FB3029"/>
    <w:rsid w:val="00FC687D"/>
    <w:rsid w:val="00FE20EB"/>
    <w:rsid w:val="00FE4D40"/>
    <w:rsid w:val="00FF4C82"/>
    <w:rsid w:val="4FD3160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4"/>
    <w:unhideWhenUsed/>
    <w:uiPriority w:val="99"/>
    <w:pPr>
      <w:tabs>
        <w:tab w:val="center" w:pos="4153"/>
        <w:tab w:val="right" w:pos="8306"/>
      </w:tabs>
      <w:snapToGrid w:val="0"/>
      <w:jc w:val="left"/>
    </w:pPr>
    <w:rPr>
      <w:sz w:val="18"/>
      <w:szCs w:val="18"/>
    </w:rPr>
  </w:style>
  <w:style w:type="paragraph" w:styleId="4">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bCs/>
    </w:rPr>
  </w:style>
  <w:style w:type="character" w:styleId="7">
    <w:name w:val="Hyperlink"/>
    <w:basedOn w:val="5"/>
    <w:semiHidden/>
    <w:unhideWhenUsed/>
    <w:uiPriority w:val="99"/>
    <w:rPr>
      <w:color w:val="0000FF"/>
      <w:u w:val="none"/>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10">
    <w:name w:val="List Paragraph"/>
    <w:basedOn w:val="1"/>
    <w:qFormat/>
    <w:uiPriority w:val="34"/>
    <w:pPr>
      <w:ind w:firstLine="420" w:firstLineChars="200"/>
    </w:pPr>
  </w:style>
  <w:style w:type="paragraph" w:customStyle="1" w:styleId="11">
    <w:name w:val="样式2"/>
    <w:basedOn w:val="1"/>
    <w:qFormat/>
    <w:uiPriority w:val="0"/>
    <w:rPr>
      <w:rFonts w:ascii="宋体" w:hAnsi="宋体" w:eastAsia="宋体" w:cs="Symeteo"/>
      <w:bCs/>
      <w:color w:val="FF0000"/>
      <w:sz w:val="24"/>
      <w:szCs w:val="24"/>
    </w:rPr>
  </w:style>
  <w:style w:type="character" w:customStyle="1" w:styleId="12">
    <w:name w:val="批注框文本 Char"/>
    <w:basedOn w:val="5"/>
    <w:link w:val="2"/>
    <w:semiHidden/>
    <w:uiPriority w:val="99"/>
    <w:rPr>
      <w:sz w:val="18"/>
      <w:szCs w:val="18"/>
    </w:rPr>
  </w:style>
  <w:style w:type="character" w:customStyle="1" w:styleId="13">
    <w:name w:val="页眉 Char"/>
    <w:basedOn w:val="5"/>
    <w:link w:val="4"/>
    <w:qFormat/>
    <w:uiPriority w:val="99"/>
    <w:rPr>
      <w:sz w:val="18"/>
      <w:szCs w:val="18"/>
    </w:rPr>
  </w:style>
  <w:style w:type="character" w:customStyle="1" w:styleId="14">
    <w:name w:val="页脚 Char"/>
    <w:basedOn w:val="5"/>
    <w:link w:val="3"/>
    <w:uiPriority w:val="99"/>
    <w:rPr>
      <w:sz w:val="18"/>
      <w:szCs w:val="18"/>
    </w:rPr>
  </w:style>
  <w:style w:type="character" w:customStyle="1" w:styleId="15">
    <w:name w:val="short_text1"/>
    <w:basedOn w:val="5"/>
    <w:qFormat/>
    <w:uiPriority w:val="0"/>
    <w:rPr>
      <w:sz w:val="29"/>
      <w:szCs w:val="29"/>
    </w:rPr>
  </w:style>
  <w:style w:type="paragraph" w:customStyle="1" w:styleId="16">
    <w:name w:val="Default"/>
    <w:uiPriority w:val="0"/>
    <w:pPr>
      <w:widowControl w:val="0"/>
      <w:autoSpaceDE w:val="0"/>
      <w:autoSpaceDN w:val="0"/>
      <w:adjustRightInd w:val="0"/>
    </w:pPr>
    <w:rPr>
      <w:rFonts w:ascii="宋体S..⒆.." w:eastAsia="宋体S..⒆.." w:cs="宋体S..⒆.." w:hAnsiTheme="minorHAnsi"/>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6</Pages>
  <Words>712</Words>
  <Characters>4060</Characters>
  <Lines>33</Lines>
  <Paragraphs>9</Paragraphs>
  <TotalTime>33</TotalTime>
  <ScaleCrop>false</ScaleCrop>
  <LinksUpToDate>false</LinksUpToDate>
  <CharactersWithSpaces>4763</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2018-04-17T08:53:00Z</dcterms:created>
  <dc:creator>xiqiang yang</dc:creator>
  <cp:lastModifiedBy>QY</cp:lastModifiedBy>
  <cp:lastPrinted>2014-04-28T01:34:00Z</cp:lastPrinted>
  <dcterms:modified xsi:type="dcterms:W3CDTF">2018-12-04T02:33:17Z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