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jc w:val="center"/>
        <w:rPr>
          <w:b/>
          <w:sz w:val="32"/>
          <w:szCs w:val="32"/>
        </w:rPr>
      </w:pPr>
      <w:r>
        <w:rPr>
          <w:rFonts w:hint="eastAsia"/>
          <w:b/>
          <w:sz w:val="32"/>
          <w:szCs w:val="32"/>
        </w:rPr>
        <w:t>“</w:t>
      </w:r>
      <w:bookmarkStart w:id="0" w:name="_GoBack"/>
      <w:r>
        <w:rPr>
          <w:rFonts w:hint="eastAsia"/>
          <w:b/>
          <w:sz w:val="32"/>
          <w:szCs w:val="32"/>
        </w:rPr>
        <w:t>东京审判与近现代亚太地区政治外交</w:t>
      </w:r>
      <w:bookmarkEnd w:id="0"/>
      <w:r>
        <w:rPr>
          <w:rFonts w:hint="eastAsia"/>
          <w:b/>
          <w:sz w:val="32"/>
          <w:szCs w:val="32"/>
        </w:rPr>
        <w:t>”</w:t>
      </w:r>
      <w:r>
        <w:rPr>
          <w:b/>
          <w:sz w:val="32"/>
          <w:szCs w:val="32"/>
        </w:rPr>
        <w:t>课程教学大纲</w:t>
      </w:r>
    </w:p>
    <w:p>
      <w:pPr>
        <w:ind w:firstLine="1050" w:firstLineChars="500"/>
      </w:pPr>
    </w:p>
    <w:tbl>
      <w:tblPr>
        <w:tblStyle w:val="9"/>
        <w:tblW w:w="9924"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6"/>
        <w:gridCol w:w="1265"/>
        <w:gridCol w:w="1515"/>
        <w:gridCol w:w="1477"/>
        <w:gridCol w:w="618"/>
        <w:gridCol w:w="941"/>
        <w:gridCol w:w="1692"/>
        <w:gridCol w:w="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9924" w:type="dxa"/>
            <w:gridSpan w:val="8"/>
            <w:shd w:val="clear" w:color="auto" w:fill="D8D8D8" w:themeFill="background1" w:themeFillShade="D9"/>
            <w:vAlign w:val="center"/>
          </w:tcPr>
          <w:p>
            <w:pPr>
              <w:jc w:val="left"/>
            </w:pPr>
            <w:r>
              <w:rPr>
                <w:rFonts w:hint="eastAsia"/>
              </w:rPr>
              <w:t>课程基本信息（Course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9" w:hRule="atLeast"/>
        </w:trPr>
        <w:tc>
          <w:tcPr>
            <w:tcW w:w="2406" w:type="dxa"/>
            <w:vAlign w:val="center"/>
          </w:tcPr>
          <w:p>
            <w:pPr>
              <w:jc w:val="center"/>
            </w:pPr>
            <w:r>
              <w:rPr>
                <w:rFonts w:hint="eastAsia"/>
              </w:rPr>
              <w:t>课程代码</w:t>
            </w:r>
          </w:p>
          <w:p>
            <w:pPr>
              <w:jc w:val="center"/>
            </w:pPr>
            <w:r>
              <w:t>（</w:t>
            </w:r>
            <w:r>
              <w:rPr>
                <w:rFonts w:hint="eastAsia"/>
              </w:rPr>
              <w:t>Course Code）</w:t>
            </w:r>
          </w:p>
        </w:tc>
        <w:tc>
          <w:tcPr>
            <w:tcW w:w="1265" w:type="dxa"/>
            <w:vAlign w:val="center"/>
          </w:tcPr>
          <w:p>
            <w:pPr>
              <w:rPr>
                <w:rFonts w:ascii="Times New Roman" w:hAnsi="Times New Roman" w:cs="Times New Roman"/>
                <w:w w:val="90"/>
              </w:rPr>
            </w:pPr>
            <w:r>
              <w:rPr>
                <w:rFonts w:ascii="Times New Roman" w:hAnsi="Times New Roman" w:cs="Times New Roman"/>
                <w:w w:val="90"/>
              </w:rPr>
              <w:t>HI076</w:t>
            </w:r>
          </w:p>
        </w:tc>
        <w:tc>
          <w:tcPr>
            <w:tcW w:w="1515" w:type="dxa"/>
            <w:vAlign w:val="center"/>
          </w:tcPr>
          <w:p>
            <w:pPr>
              <w:jc w:val="center"/>
            </w:pPr>
            <w:r>
              <w:rPr>
                <w:rFonts w:hint="eastAsia"/>
                <w:color w:val="FF0000"/>
              </w:rPr>
              <w:t>*</w:t>
            </w:r>
            <w:r>
              <w:t>学时</w:t>
            </w:r>
          </w:p>
          <w:p>
            <w:pPr>
              <w:jc w:val="center"/>
              <w:rPr>
                <w:w w:val="90"/>
              </w:rPr>
            </w:pPr>
            <w:r>
              <w:rPr>
                <w:w w:val="90"/>
              </w:rPr>
              <w:t>（</w:t>
            </w:r>
            <w:r>
              <w:rPr>
                <w:rFonts w:ascii="Times New Roman" w:hAnsi="Times New Roman" w:cs="Times New Roman"/>
                <w:w w:val="90"/>
              </w:rPr>
              <w:t>Credit Hours</w:t>
            </w:r>
            <w:r>
              <w:rPr>
                <w:w w:val="90"/>
              </w:rPr>
              <w:t>）</w:t>
            </w:r>
          </w:p>
        </w:tc>
        <w:tc>
          <w:tcPr>
            <w:tcW w:w="1477" w:type="dxa"/>
            <w:vAlign w:val="center"/>
          </w:tcPr>
          <w:p>
            <w:pPr>
              <w:jc w:val="center"/>
              <w:rPr>
                <w:rFonts w:ascii="Times New Roman" w:hAnsi="Times New Roman" w:cs="Times New Roman"/>
              </w:rPr>
            </w:pPr>
            <w:r>
              <w:rPr>
                <w:rFonts w:ascii="Times New Roman" w:hAnsi="Times New Roman" w:cs="Times New Roman"/>
              </w:rPr>
              <w:t>32</w:t>
            </w:r>
          </w:p>
        </w:tc>
        <w:tc>
          <w:tcPr>
            <w:tcW w:w="1559" w:type="dxa"/>
            <w:gridSpan w:val="2"/>
            <w:vAlign w:val="center"/>
          </w:tcPr>
          <w:p>
            <w:pPr>
              <w:jc w:val="center"/>
            </w:pPr>
            <w:r>
              <w:rPr>
                <w:rFonts w:hint="eastAsia"/>
                <w:color w:val="FF0000"/>
              </w:rPr>
              <w:t>*</w:t>
            </w:r>
            <w:r>
              <w:t>学分</w:t>
            </w:r>
          </w:p>
          <w:p>
            <w:pPr>
              <w:jc w:val="center"/>
            </w:pPr>
            <w:r>
              <w:t>（</w:t>
            </w:r>
            <w:r>
              <w:rPr>
                <w:rFonts w:ascii="Times New Roman" w:hAnsi="Times New Roman" w:cs="Times New Roman"/>
              </w:rPr>
              <w:t>Credits</w:t>
            </w:r>
            <w:r>
              <w:t>）</w:t>
            </w:r>
          </w:p>
        </w:tc>
        <w:tc>
          <w:tcPr>
            <w:tcW w:w="1702" w:type="dxa"/>
            <w:gridSpan w:val="2"/>
            <w:vAlign w:val="center"/>
          </w:tcPr>
          <w:p>
            <w:pPr>
              <w:rPr>
                <w:rFonts w:ascii="Times New Roman" w:hAnsi="Times New Roman" w:cs="Times New Roman"/>
                <w:color w:val="00B050"/>
              </w:rPr>
            </w:pPr>
            <w:r>
              <w:rPr>
                <w:rFonts w:ascii="Times New Roman" w:hAnsi="Times New Roman" w:cs="Times New Roma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rPr>
        <w:tc>
          <w:tcPr>
            <w:tcW w:w="2406" w:type="dxa"/>
            <w:vMerge w:val="restart"/>
            <w:vAlign w:val="center"/>
          </w:tcPr>
          <w:p>
            <w:r>
              <w:rPr>
                <w:rFonts w:hint="eastAsia"/>
                <w:color w:val="FF0000"/>
              </w:rPr>
              <w:t>*</w:t>
            </w:r>
            <w:r>
              <w:t>课程名称</w:t>
            </w:r>
          </w:p>
          <w:p>
            <w:r>
              <w:t>（</w:t>
            </w:r>
            <w:r>
              <w:rPr>
                <w:rFonts w:hint="eastAsia"/>
              </w:rPr>
              <w:t>Course Name）</w:t>
            </w:r>
          </w:p>
        </w:tc>
        <w:tc>
          <w:tcPr>
            <w:tcW w:w="7518" w:type="dxa"/>
            <w:gridSpan w:val="7"/>
          </w:tcPr>
          <w:p>
            <w:pPr>
              <w:jc w:val="left"/>
            </w:pPr>
            <w:r>
              <w:rPr>
                <w:rFonts w:hint="eastAsia"/>
              </w:rPr>
              <w:t>（中文）东京审判与近现代亚太地区政治外交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trPr>
        <w:tc>
          <w:tcPr>
            <w:tcW w:w="2406" w:type="dxa"/>
            <w:vMerge w:val="continue"/>
          </w:tcPr>
          <w:p>
            <w:pPr>
              <w:jc w:val="left"/>
            </w:pPr>
          </w:p>
        </w:tc>
        <w:tc>
          <w:tcPr>
            <w:tcW w:w="7518" w:type="dxa"/>
            <w:gridSpan w:val="7"/>
          </w:tcPr>
          <w:p>
            <w:pPr>
              <w:jc w:val="left"/>
            </w:pPr>
            <w:r>
              <w:rPr>
                <w:rFonts w:hint="eastAsia"/>
              </w:rPr>
              <w:t>（英文）</w:t>
            </w:r>
            <w:r>
              <w:rPr>
                <w:rFonts w:ascii="Times New Roman" w:hAnsi="Times New Roman" w:cs="Times New Roman"/>
              </w:rPr>
              <w:t>Tokyo Trial and Modern Asia</w:t>
            </w:r>
            <w:r>
              <w:rPr>
                <w:rFonts w:hint="eastAsia" w:ascii="Times New Roman" w:hAnsi="Times New Roman" w:cs="Times New Roman"/>
              </w:rPr>
              <w:t>-Pacific</w:t>
            </w:r>
            <w:r>
              <w:rPr>
                <w:rFonts w:ascii="Times New Roman" w:hAnsi="Times New Roman" w:cs="Times New Roman"/>
              </w:rPr>
              <w:t xml:space="preserve"> Politics &amp; Diplomacy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0" w:hRule="atLeast"/>
        </w:trPr>
        <w:tc>
          <w:tcPr>
            <w:tcW w:w="2406" w:type="dxa"/>
            <w:vAlign w:val="center"/>
          </w:tcPr>
          <w:p>
            <w:pPr>
              <w:jc w:val="center"/>
            </w:pPr>
            <w:r>
              <w:rPr>
                <w:rFonts w:hint="eastAsia"/>
              </w:rPr>
              <w:t>课程性质</w:t>
            </w:r>
          </w:p>
          <w:p>
            <w:pPr>
              <w:jc w:val="center"/>
            </w:pPr>
            <w:r>
              <w:rPr>
                <w:rFonts w:hint="eastAsia"/>
              </w:rPr>
              <w:t>(Course Type)</w:t>
            </w:r>
          </w:p>
        </w:tc>
        <w:tc>
          <w:tcPr>
            <w:tcW w:w="7518" w:type="dxa"/>
            <w:gridSpan w:val="7"/>
            <w:vAlign w:val="center"/>
          </w:tcPr>
          <w:p>
            <w:pPr>
              <w:jc w:val="center"/>
              <w:rPr>
                <w:color w:val="00B050"/>
              </w:rPr>
            </w:pPr>
            <w:r>
              <w:rPr>
                <w:rFonts w:hint="eastAsia"/>
              </w:rPr>
              <w:t>公共选修课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pPr>
            <w:r>
              <w:rPr>
                <w:rFonts w:hint="eastAsia"/>
              </w:rPr>
              <w:t>授课对象</w:t>
            </w:r>
          </w:p>
          <w:p>
            <w:pPr>
              <w:jc w:val="center"/>
            </w:pPr>
            <w:r>
              <w:rPr>
                <w:rFonts w:hint="eastAsia"/>
              </w:rPr>
              <w:t>（Audience）</w:t>
            </w:r>
          </w:p>
        </w:tc>
        <w:tc>
          <w:tcPr>
            <w:tcW w:w="7518" w:type="dxa"/>
            <w:gridSpan w:val="7"/>
            <w:vAlign w:val="center"/>
          </w:tcPr>
          <w:p>
            <w:pPr>
              <w:jc w:val="center"/>
            </w:pPr>
            <w:r>
              <w:t>本科生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pPr>
            <w:r>
              <w:rPr>
                <w:rFonts w:hint="eastAsia"/>
              </w:rPr>
              <w:t>授课语言</w:t>
            </w:r>
          </w:p>
          <w:p>
            <w:pPr>
              <w:jc w:val="left"/>
            </w:pPr>
            <w:r>
              <w:rPr>
                <w:rFonts w:hint="eastAsia"/>
              </w:rPr>
              <w:t>(Language of Instruction)</w:t>
            </w:r>
          </w:p>
        </w:tc>
        <w:tc>
          <w:tcPr>
            <w:tcW w:w="7518" w:type="dxa"/>
            <w:gridSpan w:val="7"/>
            <w:vAlign w:val="center"/>
          </w:tcPr>
          <w:p>
            <w:pPr>
              <w:jc w:val="center"/>
            </w:pPr>
            <w:r>
              <w:t>汉语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pPr>
            <w:r>
              <w:rPr>
                <w:rFonts w:hint="eastAsia"/>
                <w:color w:val="FF0000"/>
              </w:rPr>
              <w:t>*</w:t>
            </w:r>
            <w:r>
              <w:rPr>
                <w:rFonts w:hint="eastAsia"/>
              </w:rPr>
              <w:t>开课院系</w:t>
            </w:r>
          </w:p>
          <w:p>
            <w:pPr>
              <w:jc w:val="center"/>
            </w:pPr>
            <w:r>
              <w:rPr>
                <w:rFonts w:hint="eastAsia"/>
              </w:rPr>
              <w:t>（School）</w:t>
            </w:r>
          </w:p>
        </w:tc>
        <w:tc>
          <w:tcPr>
            <w:tcW w:w="7518" w:type="dxa"/>
            <w:gridSpan w:val="7"/>
            <w:vAlign w:val="center"/>
          </w:tcPr>
          <w:p>
            <w:pPr>
              <w:jc w:val="center"/>
            </w:pPr>
            <w:r>
              <w:t>人文学院</w:t>
            </w:r>
            <w:r>
              <w:rPr>
                <w:rFonts w:hint="eastAsia"/>
              </w:rPr>
              <w:t>&amp;</w:t>
            </w:r>
            <w:r>
              <w:t>东京审判研究中心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jc w:val="center"/>
            </w:pPr>
            <w:r>
              <w:rPr>
                <w:rFonts w:hint="eastAsia"/>
              </w:rPr>
              <w:t>先修课程</w:t>
            </w:r>
          </w:p>
          <w:p>
            <w:pPr>
              <w:jc w:val="center"/>
            </w:pPr>
            <w:r>
              <w:rPr>
                <w:rFonts w:hint="eastAsia"/>
              </w:rPr>
              <w:t>（Prerequisite）</w:t>
            </w:r>
          </w:p>
        </w:tc>
        <w:tc>
          <w:tcPr>
            <w:tcW w:w="7518" w:type="dxa"/>
            <w:gridSpan w:val="7"/>
            <w:vAlign w:val="center"/>
          </w:tcPr>
          <w:p>
            <w:pPr>
              <w:jc w:val="center"/>
            </w:pPr>
            <w: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0" w:type="dxa"/>
        </w:trPr>
        <w:tc>
          <w:tcPr>
            <w:tcW w:w="2406" w:type="dxa"/>
            <w:vAlign w:val="center"/>
          </w:tcPr>
          <w:p>
            <w:pPr>
              <w:jc w:val="center"/>
            </w:pPr>
            <w:r>
              <w:rPr>
                <w:rFonts w:hint="eastAsia"/>
              </w:rPr>
              <w:t>授课教师</w:t>
            </w:r>
          </w:p>
          <w:p>
            <w:pPr>
              <w:jc w:val="center"/>
            </w:pPr>
            <w:r>
              <w:rPr>
                <w:rFonts w:hint="eastAsia"/>
              </w:rPr>
              <w:t>（Instructor）</w:t>
            </w:r>
          </w:p>
        </w:tc>
        <w:tc>
          <w:tcPr>
            <w:tcW w:w="2780" w:type="dxa"/>
            <w:gridSpan w:val="2"/>
            <w:vAlign w:val="center"/>
          </w:tcPr>
          <w:p>
            <w:pPr>
              <w:jc w:val="center"/>
            </w:pPr>
            <w:r>
              <w:t>龚志伟</w:t>
            </w:r>
          </w:p>
        </w:tc>
        <w:tc>
          <w:tcPr>
            <w:tcW w:w="2095" w:type="dxa"/>
            <w:gridSpan w:val="2"/>
            <w:vAlign w:val="center"/>
          </w:tcPr>
          <w:p>
            <w:pPr>
              <w:jc w:val="center"/>
            </w:pPr>
            <w:r>
              <w:rPr>
                <w:rFonts w:hint="eastAsia"/>
              </w:rPr>
              <w:t>课程网址</w:t>
            </w:r>
          </w:p>
          <w:p>
            <w:pPr>
              <w:jc w:val="center"/>
              <w:rPr>
                <w:rFonts w:ascii="Times New Roman" w:hAnsi="Times New Roman" w:cs="Times New Roman"/>
              </w:rPr>
            </w:pPr>
            <w:r>
              <w:rPr>
                <w:rFonts w:ascii="Times New Roman" w:hAnsi="Times New Roman" w:cs="Times New Roman"/>
              </w:rPr>
              <w:t>(Course Webpage)</w:t>
            </w:r>
          </w:p>
        </w:tc>
        <w:tc>
          <w:tcPr>
            <w:tcW w:w="2633" w:type="dxa"/>
            <w:gridSpan w:val="2"/>
            <w:vAlign w:val="center"/>
          </w:tcPr>
          <w:p>
            <w:pPr>
              <w:jc w:val="center"/>
              <w:rPr>
                <w:color w:val="00B05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28" w:hRule="atLeast"/>
        </w:trPr>
        <w:tc>
          <w:tcPr>
            <w:tcW w:w="2406" w:type="dxa"/>
            <w:vAlign w:val="center"/>
          </w:tcPr>
          <w:p>
            <w:pPr>
              <w:jc w:val="center"/>
            </w:pPr>
            <w:r>
              <w:rPr>
                <w:rFonts w:hint="eastAsia"/>
                <w:color w:val="FF0000"/>
              </w:rPr>
              <w:t>*</w:t>
            </w:r>
            <w:r>
              <w:rPr>
                <w:rFonts w:hint="eastAsia"/>
              </w:rPr>
              <w:t>课程简介</w:t>
            </w:r>
            <w:r>
              <w:rPr>
                <w:rFonts w:hint="eastAsia"/>
                <w:w w:val="90"/>
              </w:rPr>
              <w:t>（Description）</w:t>
            </w:r>
          </w:p>
        </w:tc>
        <w:tc>
          <w:tcPr>
            <w:tcW w:w="7518" w:type="dxa"/>
            <w:gridSpan w:val="7"/>
            <w:vAlign w:val="center"/>
          </w:tcPr>
          <w:p>
            <w:pPr>
              <w:spacing w:line="360" w:lineRule="auto"/>
              <w:ind w:firstLine="420" w:firstLineChars="200"/>
            </w:pPr>
          </w:p>
          <w:p>
            <w:pPr>
              <w:spacing w:line="360" w:lineRule="auto"/>
              <w:ind w:firstLine="420" w:firstLineChars="200"/>
            </w:pPr>
            <w:r>
              <w:rPr>
                <w:rFonts w:hint="eastAsia"/>
              </w:rPr>
              <w:t>东京审判是二战结束后联合国对日本战犯的最重要的一场审判，它为20余名前日本军政高层的A级战犯确定了战争罪行，也是对日本侵略战争历史的盖棺论定。20世纪上半叶亚太地区发生的重大政治、外交、军事事件，无不被东京审判包罗于内。</w:t>
            </w:r>
          </w:p>
          <w:p>
            <w:pPr>
              <w:spacing w:line="360" w:lineRule="auto"/>
              <w:ind w:firstLine="420" w:firstLineChars="200"/>
            </w:pPr>
            <w:r>
              <w:rPr>
                <w:rFonts w:hint="eastAsia"/>
              </w:rPr>
              <w:t>讲授对象为本科生，介绍东京审判的基本历史；介绍东京审判所涉及的20世纪上半叶以中日关系为核心的东亚政治外交史。授课内容主要分为如下5个方面：</w:t>
            </w:r>
          </w:p>
          <w:p>
            <w:pPr>
              <w:pStyle w:val="10"/>
              <w:numPr>
                <w:ilvl w:val="0"/>
                <w:numId w:val="1"/>
              </w:numPr>
              <w:spacing w:line="360" w:lineRule="auto"/>
              <w:ind w:firstLineChars="0"/>
            </w:pPr>
            <w:r>
              <w:rPr>
                <w:rFonts w:hint="eastAsia"/>
              </w:rPr>
              <w:t>联合国组建远东国际军事法庭的前后经过；</w:t>
            </w:r>
          </w:p>
          <w:p>
            <w:pPr>
              <w:pStyle w:val="10"/>
              <w:numPr>
                <w:ilvl w:val="0"/>
                <w:numId w:val="1"/>
              </w:numPr>
              <w:spacing w:line="360" w:lineRule="auto"/>
              <w:ind w:firstLineChars="0"/>
            </w:pPr>
            <w:r>
              <w:rPr>
                <w:rFonts w:hint="eastAsia"/>
              </w:rPr>
              <w:t>东京审判的庭审过程（1946年5月3日-1948年11月12日）；</w:t>
            </w:r>
          </w:p>
          <w:p>
            <w:pPr>
              <w:spacing w:line="360" w:lineRule="auto"/>
            </w:pPr>
            <w:r>
              <w:rPr>
                <w:rFonts w:hint="eastAsia"/>
              </w:rPr>
              <w:t>3、东京审判涉及的1928-1945年中日关系和十四年抗日战争史；</w:t>
            </w:r>
          </w:p>
          <w:p>
            <w:pPr>
              <w:spacing w:line="360" w:lineRule="auto"/>
            </w:pPr>
            <w:r>
              <w:rPr>
                <w:rFonts w:hint="eastAsia"/>
              </w:rPr>
              <w:t>4、东京审判涉及的太平洋战争史；</w:t>
            </w:r>
          </w:p>
          <w:p>
            <w:pPr>
              <w:spacing w:line="360" w:lineRule="auto"/>
            </w:pPr>
            <w:r>
              <w:rPr>
                <w:rFonts w:hint="eastAsia"/>
              </w:rPr>
              <w:t>5、东京审判涉及的日本侵略罪行与战争暴行罪行。</w:t>
            </w:r>
          </w:p>
          <w:p>
            <w:pPr>
              <w:spacing w:line="360" w:lineRule="auto"/>
            </w:pPr>
          </w:p>
          <w:p>
            <w:pPr>
              <w:spacing w:line="360" w:lineRule="auto"/>
            </w:pPr>
            <w:r>
              <w:rPr>
                <w:rFonts w:hint="eastAsia"/>
              </w:rPr>
              <w:t>课程目的：</w:t>
            </w:r>
          </w:p>
          <w:p>
            <w:pPr>
              <w:spacing w:line="360" w:lineRule="auto"/>
            </w:pPr>
            <w:r>
              <w:rPr>
                <w:rFonts w:hint="eastAsia"/>
              </w:rPr>
              <w:t>1、使本科学生对东京审判的来龙去脉和历史地位有基本了解；</w:t>
            </w:r>
          </w:p>
          <w:p>
            <w:pPr>
              <w:spacing w:line="360" w:lineRule="auto"/>
            </w:pPr>
            <w:r>
              <w:rPr>
                <w:rFonts w:hint="eastAsia"/>
              </w:rPr>
              <w:t>2、使本科学生对1920-1940年代的东亚和太平洋地区的政治、外交、军事的重大事件和历史发展进程有基本了解；</w:t>
            </w:r>
          </w:p>
          <w:p>
            <w:pPr>
              <w:spacing w:line="360" w:lineRule="auto"/>
            </w:pPr>
            <w:r>
              <w:rPr>
                <w:rFonts w:hint="eastAsia"/>
              </w:rPr>
              <w:t>3、培养本科学生通过东京审判对战后七十年来的东亚政治发展进行深入思考。</w:t>
            </w:r>
          </w:p>
          <w:p>
            <w:pPr>
              <w:spacing w:line="36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33" w:hRule="atLeast"/>
        </w:trPr>
        <w:tc>
          <w:tcPr>
            <w:tcW w:w="2406" w:type="dxa"/>
            <w:tcBorders>
              <w:bottom w:val="single" w:color="auto" w:sz="4" w:space="0"/>
            </w:tcBorders>
            <w:vAlign w:val="center"/>
          </w:tcPr>
          <w:p>
            <w:pPr>
              <w:jc w:val="center"/>
            </w:pPr>
            <w:r>
              <w:rPr>
                <w:rFonts w:hint="eastAsia"/>
                <w:color w:val="FF0000"/>
              </w:rPr>
              <w:t>*</w:t>
            </w:r>
            <w:r>
              <w:rPr>
                <w:rFonts w:hint="eastAsia"/>
              </w:rPr>
              <w:t>课程简介</w:t>
            </w:r>
            <w:r>
              <w:rPr>
                <w:rFonts w:hint="eastAsia"/>
                <w:w w:val="90"/>
              </w:rPr>
              <w:t>（Description）</w:t>
            </w:r>
          </w:p>
        </w:tc>
        <w:tc>
          <w:tcPr>
            <w:tcW w:w="7518" w:type="dxa"/>
            <w:gridSpan w:val="7"/>
            <w:tcBorders>
              <w:bottom w:val="single" w:color="auto" w:sz="4" w:space="0"/>
            </w:tcBorders>
            <w:vAlign w:val="center"/>
          </w:tcPr>
          <w:p>
            <w:pPr>
              <w:spacing w:line="360" w:lineRule="auto"/>
              <w:ind w:firstLine="210" w:firstLineChars="100"/>
              <w:jc w:val="left"/>
              <w:rPr>
                <w:rFonts w:ascii="Times New Roman" w:hAnsi="Times New Roman" w:cs="Times New Roman"/>
              </w:rPr>
            </w:pPr>
            <w:r>
              <w:rPr>
                <w:rFonts w:ascii="Times New Roman" w:hAnsi="Times New Roman" w:cs="Times New Roman"/>
              </w:rPr>
              <w:t>The Tokyo Trial is the most significant post-war Allied trial, which made a verdict of war crimes of over 20 accused war crimes, as well as concluded the Japan’s Aggression War. The Tokyo Trial reflected a series of significant political, diplomatic and military incidents in the first half of 20</w:t>
            </w:r>
            <w:r>
              <w:rPr>
                <w:rFonts w:ascii="Times New Roman" w:hAnsi="Times New Roman" w:cs="Times New Roman"/>
                <w:vertAlign w:val="superscript"/>
              </w:rPr>
              <w:t>th</w:t>
            </w:r>
            <w:r>
              <w:rPr>
                <w:rFonts w:ascii="Times New Roman" w:hAnsi="Times New Roman" w:cs="Times New Roman"/>
              </w:rPr>
              <w:t xml:space="preserve"> Century.</w:t>
            </w:r>
          </w:p>
          <w:p>
            <w:pPr>
              <w:spacing w:line="360" w:lineRule="auto"/>
              <w:jc w:val="left"/>
              <w:rPr>
                <w:rFonts w:ascii="Times New Roman" w:hAnsi="Times New Roman" w:cs="Times New Roman"/>
              </w:rPr>
            </w:pPr>
            <w:r>
              <w:rPr>
                <w:rFonts w:ascii="Times New Roman" w:hAnsi="Times New Roman" w:cs="Times New Roman"/>
              </w:rPr>
              <w:t xml:space="preserve">   To introduce the basic history of the Trial and the East Asia politics and diplomacy  that is reflected in The Trial, there are 5 respects as follows:</w:t>
            </w:r>
          </w:p>
          <w:p>
            <w:pPr>
              <w:pStyle w:val="10"/>
              <w:numPr>
                <w:ilvl w:val="0"/>
                <w:numId w:val="2"/>
              </w:numPr>
              <w:spacing w:line="360" w:lineRule="auto"/>
              <w:ind w:firstLineChars="0"/>
              <w:jc w:val="left"/>
              <w:rPr>
                <w:rFonts w:ascii="Times New Roman" w:hAnsi="Times New Roman" w:cs="Times New Roman"/>
              </w:rPr>
            </w:pPr>
            <w:r>
              <w:rPr>
                <w:rFonts w:ascii="Times New Roman" w:hAnsi="Times New Roman" w:cs="Times New Roman"/>
              </w:rPr>
              <w:t xml:space="preserve">The ways by which the Allied Powers established the IMTFE. </w:t>
            </w:r>
          </w:p>
          <w:p>
            <w:pPr>
              <w:pStyle w:val="10"/>
              <w:numPr>
                <w:ilvl w:val="0"/>
                <w:numId w:val="2"/>
              </w:numPr>
              <w:spacing w:line="360" w:lineRule="auto"/>
              <w:ind w:firstLineChars="0"/>
              <w:jc w:val="left"/>
              <w:rPr>
                <w:rFonts w:ascii="Times New Roman" w:hAnsi="Times New Roman" w:cs="Times New Roman"/>
              </w:rPr>
            </w:pPr>
            <w:r>
              <w:rPr>
                <w:rFonts w:ascii="Times New Roman" w:hAnsi="Times New Roman" w:cs="Times New Roman"/>
              </w:rPr>
              <w:t>The court proceedings (3 May 1946- 12 November 1948).</w:t>
            </w:r>
          </w:p>
          <w:p>
            <w:pPr>
              <w:pStyle w:val="10"/>
              <w:numPr>
                <w:ilvl w:val="0"/>
                <w:numId w:val="2"/>
              </w:numPr>
              <w:spacing w:line="360" w:lineRule="auto"/>
              <w:ind w:firstLineChars="0"/>
              <w:jc w:val="left"/>
              <w:rPr>
                <w:rFonts w:ascii="Times New Roman" w:hAnsi="Times New Roman" w:cs="Times New Roman"/>
              </w:rPr>
            </w:pPr>
            <w:r>
              <w:rPr>
                <w:rFonts w:ascii="Times New Roman" w:hAnsi="Times New Roman" w:cs="Times New Roman"/>
              </w:rPr>
              <w:t>The Sino-Japanese relations between 1928-1945 and 14-year Anti-Japanese War that were reflected in the Tokyo Trial.</w:t>
            </w:r>
          </w:p>
          <w:p>
            <w:pPr>
              <w:pStyle w:val="10"/>
              <w:numPr>
                <w:ilvl w:val="0"/>
                <w:numId w:val="2"/>
              </w:numPr>
              <w:spacing w:line="360" w:lineRule="auto"/>
              <w:ind w:firstLineChars="0"/>
              <w:jc w:val="left"/>
              <w:rPr>
                <w:rFonts w:ascii="Times New Roman" w:hAnsi="Times New Roman" w:cs="Times New Roman"/>
              </w:rPr>
            </w:pPr>
            <w:r>
              <w:rPr>
                <w:rFonts w:ascii="Times New Roman" w:hAnsi="Times New Roman" w:cs="Times New Roman"/>
              </w:rPr>
              <w:t>The Pacific War that was reflected in the Tokyo Trial.</w:t>
            </w:r>
          </w:p>
          <w:p>
            <w:pPr>
              <w:pStyle w:val="10"/>
              <w:numPr>
                <w:ilvl w:val="0"/>
                <w:numId w:val="2"/>
              </w:numPr>
              <w:spacing w:line="360" w:lineRule="auto"/>
              <w:ind w:firstLineChars="0"/>
              <w:jc w:val="left"/>
              <w:rPr>
                <w:rFonts w:ascii="Times New Roman" w:hAnsi="Times New Roman" w:cs="Times New Roman"/>
              </w:rPr>
            </w:pPr>
            <w:r>
              <w:rPr>
                <w:rFonts w:ascii="Times New Roman" w:hAnsi="Times New Roman" w:cs="Times New Roman"/>
              </w:rPr>
              <w:t>The Japanese war crimes and atrocities during the War.</w:t>
            </w:r>
          </w:p>
          <w:p>
            <w:pPr>
              <w:spacing w:line="360" w:lineRule="auto"/>
              <w:rPr>
                <w:rFonts w:ascii="Times New Roman" w:hAnsi="Times New Roman" w:cs="Times New Roman"/>
              </w:rPr>
            </w:pPr>
            <w:r>
              <w:rPr>
                <w:rFonts w:ascii="Times New Roman" w:hAnsi="Times New Roman" w:cs="Times New Roman"/>
              </w:rPr>
              <w:t>The aims of the lessons are to make the students:</w:t>
            </w:r>
          </w:p>
          <w:p>
            <w:pPr>
              <w:pStyle w:val="10"/>
              <w:numPr>
                <w:ilvl w:val="0"/>
                <w:numId w:val="3"/>
              </w:numPr>
              <w:spacing w:line="360" w:lineRule="auto"/>
              <w:ind w:firstLineChars="0"/>
              <w:rPr>
                <w:rFonts w:ascii="Times New Roman" w:hAnsi="Times New Roman" w:cs="Times New Roman"/>
              </w:rPr>
            </w:pPr>
            <w:r>
              <w:rPr>
                <w:rFonts w:ascii="Times New Roman" w:hAnsi="Times New Roman" w:cs="Times New Roman"/>
              </w:rPr>
              <w:t xml:space="preserve">Have a brief understanding about the IMTFE and its historical significance. </w:t>
            </w:r>
          </w:p>
          <w:p>
            <w:pPr>
              <w:pStyle w:val="10"/>
              <w:numPr>
                <w:ilvl w:val="0"/>
                <w:numId w:val="3"/>
              </w:numPr>
              <w:spacing w:line="360" w:lineRule="auto"/>
              <w:ind w:firstLineChars="0"/>
              <w:rPr>
                <w:rFonts w:ascii="Times New Roman" w:hAnsi="Times New Roman" w:cs="Times New Roman"/>
              </w:rPr>
            </w:pPr>
            <w:r>
              <w:rPr>
                <w:rFonts w:ascii="Times New Roman" w:hAnsi="Times New Roman" w:cs="Times New Roman"/>
              </w:rPr>
              <w:t>Have a fundamental understanding about the East Asia and Pacific theatre politics, diplomacy, military incidents and historical development during the 1920-1940s.</w:t>
            </w:r>
          </w:p>
          <w:p>
            <w:pPr>
              <w:pStyle w:val="10"/>
              <w:numPr>
                <w:ilvl w:val="0"/>
                <w:numId w:val="3"/>
              </w:numPr>
              <w:spacing w:line="360" w:lineRule="auto"/>
              <w:ind w:firstLineChars="0"/>
              <w:rPr>
                <w:rFonts w:ascii="Times New Roman" w:hAnsi="Times New Roman" w:cs="Times New Roman"/>
              </w:rPr>
            </w:pPr>
            <w:r>
              <w:rPr>
                <w:rFonts w:ascii="Times New Roman" w:hAnsi="Times New Roman" w:cs="Times New Roman"/>
              </w:rPr>
              <w:t>Form a deep thinking about the East Asia ‘s political development over 70 years.</w:t>
            </w:r>
          </w:p>
          <w:p>
            <w:pPr>
              <w:spacing w:line="360" w:lineRule="auto"/>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atLeast"/>
        </w:trPr>
        <w:tc>
          <w:tcPr>
            <w:tcW w:w="9924" w:type="dxa"/>
            <w:gridSpan w:val="8"/>
            <w:shd w:val="clear" w:color="auto" w:fill="D8D8D8" w:themeFill="background1" w:themeFillShade="D9"/>
            <w:vAlign w:val="center"/>
          </w:tcPr>
          <w:p>
            <w:pPr>
              <w:spacing w:line="360" w:lineRule="auto"/>
            </w:pPr>
            <w:r>
              <w:rPr>
                <w:rFonts w:hint="eastAsia"/>
              </w:rPr>
              <w:t>课程教学大纲（C</w:t>
            </w:r>
            <w:r>
              <w:t xml:space="preserve">ourse </w:t>
            </w:r>
            <w:r>
              <w:rPr>
                <w:rFonts w:hint="eastAsia"/>
              </w:rPr>
              <w:t>S</w:t>
            </w:r>
            <w:r>
              <w:t>yllabus</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33" w:hRule="atLeast"/>
        </w:trPr>
        <w:tc>
          <w:tcPr>
            <w:tcW w:w="2406" w:type="dxa"/>
            <w:vAlign w:val="center"/>
          </w:tcPr>
          <w:p>
            <w:pPr>
              <w:jc w:val="left"/>
            </w:pPr>
            <w:r>
              <w:rPr>
                <w:rFonts w:hint="eastAsia"/>
                <w:color w:val="C00000"/>
              </w:rPr>
              <w:t>*</w:t>
            </w:r>
            <w:r>
              <w:rPr>
                <w:rFonts w:hint="eastAsia"/>
              </w:rPr>
              <w:t>学习目标(Learning Outcomes)</w:t>
            </w:r>
          </w:p>
        </w:tc>
        <w:tc>
          <w:tcPr>
            <w:tcW w:w="7518" w:type="dxa"/>
            <w:gridSpan w:val="7"/>
            <w:vAlign w:val="center"/>
          </w:tcPr>
          <w:p>
            <w:pPr>
              <w:spacing w:line="360" w:lineRule="auto"/>
            </w:pPr>
            <w:r>
              <w:rPr>
                <w:rFonts w:hint="eastAsia"/>
              </w:rPr>
              <w:t>1、了解国内外东京审判学术史（第1章）；</w:t>
            </w:r>
          </w:p>
          <w:p>
            <w:pPr>
              <w:spacing w:line="360" w:lineRule="auto"/>
            </w:pPr>
            <w:r>
              <w:rPr>
                <w:rFonts w:hint="eastAsia"/>
              </w:rPr>
              <w:t>2、了解同盟国战后审判的理念缘起、演变和成型（第2章）；</w:t>
            </w:r>
          </w:p>
          <w:p>
            <w:pPr>
              <w:spacing w:line="360" w:lineRule="auto"/>
            </w:pPr>
            <w:r>
              <w:rPr>
                <w:rFonts w:hint="eastAsia"/>
              </w:rPr>
              <w:t>3、了解远东国际军事法庭的建立、庭审和审判（第3章）；</w:t>
            </w:r>
          </w:p>
          <w:p>
            <w:pPr>
              <w:spacing w:line="360" w:lineRule="auto"/>
            </w:pPr>
            <w:r>
              <w:rPr>
                <w:rFonts w:hint="eastAsia"/>
              </w:rPr>
              <w:t>4、通过东京审判，认识1920-1940年代日本政治的演变（第4章）；</w:t>
            </w:r>
          </w:p>
          <w:p>
            <w:pPr>
              <w:spacing w:line="360" w:lineRule="auto"/>
            </w:pPr>
            <w:r>
              <w:rPr>
                <w:rFonts w:hint="eastAsia"/>
              </w:rPr>
              <w:t>5、通过东京审判，认识1928-1945年日本计划、准备、实施侵华战争的历史（第5章）；</w:t>
            </w:r>
          </w:p>
          <w:p>
            <w:pPr>
              <w:spacing w:line="360" w:lineRule="auto"/>
            </w:pPr>
            <w:r>
              <w:rPr>
                <w:rFonts w:hint="eastAsia"/>
              </w:rPr>
              <w:t>6、通过东京审判，认识1931-1945年日本在中国和太平洋地区的暴行（第6、11章）；</w:t>
            </w:r>
          </w:p>
          <w:p>
            <w:pPr>
              <w:spacing w:line="360" w:lineRule="auto"/>
            </w:pPr>
            <w:r>
              <w:rPr>
                <w:rFonts w:hint="eastAsia"/>
              </w:rPr>
              <w:t>7、通过东京审判，认识1930年代末至1940年代初日本与英美为首的西方国家的外交关系，及太平洋战争的爆发（第9章）；</w:t>
            </w:r>
          </w:p>
          <w:p>
            <w:pPr>
              <w:spacing w:line="360" w:lineRule="auto"/>
            </w:pPr>
            <w:r>
              <w:rPr>
                <w:rFonts w:hint="eastAsia"/>
              </w:rPr>
              <w:t>8、通过东京审判，认识1930-1940年代的日苏关系（第10章）；</w:t>
            </w:r>
          </w:p>
          <w:p>
            <w:pPr>
              <w:spacing w:line="360" w:lineRule="auto"/>
            </w:pPr>
            <w:r>
              <w:rPr>
                <w:rFonts w:hint="eastAsia"/>
              </w:rPr>
              <w:t>9、理解东京审判对战后亚太地区政治格局的形成与演变的影响（第12章）</w:t>
            </w:r>
          </w:p>
          <w:p>
            <w:pPr>
              <w:spacing w:line="36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06" w:type="dxa"/>
            <w:vAlign w:val="center"/>
          </w:tcPr>
          <w:p>
            <w:pPr>
              <w:spacing w:line="460" w:lineRule="exact"/>
              <w:jc w:val="center"/>
            </w:pPr>
            <w:r>
              <w:rPr>
                <w:rFonts w:hint="eastAsia"/>
                <w:color w:val="C00000"/>
              </w:rPr>
              <w:t>*</w:t>
            </w:r>
            <w:r>
              <w:rPr>
                <w:rFonts w:hint="eastAsia"/>
              </w:rPr>
              <w:t>教学内容、进度安排及要求(</w:t>
            </w:r>
            <w:r>
              <w:t>Class Schedule</w:t>
            </w:r>
            <w:r>
              <w:rPr>
                <w:rFonts w:hint="eastAsia"/>
              </w:rPr>
              <w:t xml:space="preserve"> &amp; </w:t>
            </w:r>
            <w:r>
              <w:t>Requirements</w:t>
            </w:r>
            <w:r>
              <w:rPr>
                <w:rFonts w:hint="eastAsia"/>
              </w:rPr>
              <w:t>)</w:t>
            </w:r>
          </w:p>
        </w:tc>
        <w:tc>
          <w:tcPr>
            <w:tcW w:w="7518" w:type="dxa"/>
            <w:gridSpan w:val="7"/>
            <w:vAlign w:val="center"/>
          </w:tcPr>
          <w:tbl>
            <w:tblPr>
              <w:tblStyle w:val="9"/>
              <w:tblW w:w="7267" w:type="dxa"/>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4574"/>
              <w:gridCol w:w="851"/>
              <w:gridCol w:w="1842"/>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c>
                <w:tcPr>
                  <w:tcW w:w="4574" w:type="dxa"/>
                </w:tcPr>
                <w:p>
                  <w:pPr>
                    <w:jc w:val="center"/>
                  </w:pPr>
                  <w:r>
                    <w:rPr>
                      <w:rFonts w:hint="eastAsia"/>
                    </w:rPr>
                    <w:t>教学内容</w:t>
                  </w:r>
                </w:p>
              </w:tc>
              <w:tc>
                <w:tcPr>
                  <w:tcW w:w="851" w:type="dxa"/>
                </w:tcPr>
                <w:p>
                  <w:pPr>
                    <w:jc w:val="center"/>
                  </w:pPr>
                  <w:r>
                    <w:rPr>
                      <w:rFonts w:hint="eastAsia"/>
                    </w:rPr>
                    <w:t>学时</w:t>
                  </w:r>
                </w:p>
              </w:tc>
              <w:tc>
                <w:tcPr>
                  <w:tcW w:w="1842" w:type="dxa"/>
                </w:tcPr>
                <w:p>
                  <w:pPr>
                    <w:jc w:val="center"/>
                  </w:pPr>
                  <w:r>
                    <w:rPr>
                      <w:rFonts w:hint="eastAsia"/>
                    </w:rPr>
                    <w:t>教学方式</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20" w:hRule="atLeast"/>
              </w:trPr>
              <w:tc>
                <w:tcPr>
                  <w:tcW w:w="4574" w:type="dxa"/>
                  <w:vAlign w:val="center"/>
                </w:tcPr>
                <w:p>
                  <w:pPr>
                    <w:jc w:val="center"/>
                  </w:pPr>
                  <w:r>
                    <w:t>绪论</w:t>
                  </w:r>
                </w:p>
              </w:tc>
              <w:tc>
                <w:tcPr>
                  <w:tcW w:w="851" w:type="dxa"/>
                  <w:vAlign w:val="center"/>
                </w:tcPr>
                <w:p>
                  <w:pPr>
                    <w:jc w:val="center"/>
                  </w:pPr>
                  <w:r>
                    <w:rPr>
                      <w:rFonts w:hint="eastAsia"/>
                    </w:rPr>
                    <w:t>2</w:t>
                  </w:r>
                </w:p>
              </w:tc>
              <w:tc>
                <w:tcPr>
                  <w:tcW w:w="1842" w:type="dxa"/>
                  <w:vAlign w:val="center"/>
                </w:tcPr>
                <w:p>
                  <w:pPr>
                    <w:jc w:val="center"/>
                  </w:pPr>
                  <w:r>
                    <w:t>课堂讲授</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5" w:hRule="atLeast"/>
              </w:trPr>
              <w:tc>
                <w:tcPr>
                  <w:tcW w:w="4574" w:type="dxa"/>
                  <w:vAlign w:val="center"/>
                </w:tcPr>
                <w:p>
                  <w:pPr>
                    <w:jc w:val="center"/>
                  </w:pPr>
                  <w:r>
                    <w:t>二战期间同盟国关于战后审判的构想</w:t>
                  </w:r>
                </w:p>
              </w:tc>
              <w:tc>
                <w:tcPr>
                  <w:tcW w:w="851" w:type="dxa"/>
                  <w:vAlign w:val="center"/>
                </w:tcPr>
                <w:p>
                  <w:pPr>
                    <w:jc w:val="center"/>
                  </w:pPr>
                  <w:r>
                    <w:rPr>
                      <w:rFonts w:hint="eastAsia"/>
                    </w:rPr>
                    <w:t>1</w:t>
                  </w:r>
                </w:p>
              </w:tc>
              <w:tc>
                <w:tcPr>
                  <w:tcW w:w="1842" w:type="dxa"/>
                  <w:vAlign w:val="center"/>
                </w:tcPr>
                <w:p>
                  <w:pPr>
                    <w:jc w:val="center"/>
                  </w:pPr>
                  <w:r>
                    <w:t>课堂讲授</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trPr>
              <w:tc>
                <w:tcPr>
                  <w:tcW w:w="4574" w:type="dxa"/>
                  <w:vAlign w:val="center"/>
                </w:tcPr>
                <w:p>
                  <w:pPr>
                    <w:jc w:val="center"/>
                  </w:pPr>
                  <w:r>
                    <w:t>战后同盟国计划筹建对日战犯审判的经过</w:t>
                  </w:r>
                </w:p>
              </w:tc>
              <w:tc>
                <w:tcPr>
                  <w:tcW w:w="851" w:type="dxa"/>
                  <w:vAlign w:val="center"/>
                </w:tcPr>
                <w:p>
                  <w:pPr>
                    <w:jc w:val="center"/>
                  </w:pPr>
                  <w:r>
                    <w:rPr>
                      <w:rFonts w:hint="eastAsia"/>
                    </w:rPr>
                    <w:t>3</w:t>
                  </w:r>
                </w:p>
              </w:tc>
              <w:tc>
                <w:tcPr>
                  <w:tcW w:w="1842" w:type="dxa"/>
                  <w:vAlign w:val="center"/>
                </w:tcPr>
                <w:p>
                  <w:pPr>
                    <w:jc w:val="center"/>
                  </w:pPr>
                  <w:r>
                    <w:t>课堂讲授</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trPr>
              <w:tc>
                <w:tcPr>
                  <w:tcW w:w="4574" w:type="dxa"/>
                  <w:vAlign w:val="center"/>
                </w:tcPr>
                <w:p>
                  <w:pPr>
                    <w:jc w:val="center"/>
                  </w:pPr>
                  <w:r>
                    <w:t>东京审判庭审和判决经过</w:t>
                  </w:r>
                </w:p>
              </w:tc>
              <w:tc>
                <w:tcPr>
                  <w:tcW w:w="851" w:type="dxa"/>
                  <w:vAlign w:val="center"/>
                </w:tcPr>
                <w:p>
                  <w:pPr>
                    <w:jc w:val="center"/>
                  </w:pPr>
                  <w:r>
                    <w:rPr>
                      <w:rFonts w:hint="eastAsia"/>
                    </w:rPr>
                    <w:t>4</w:t>
                  </w:r>
                </w:p>
              </w:tc>
              <w:tc>
                <w:tcPr>
                  <w:tcW w:w="1842" w:type="dxa"/>
                  <w:vAlign w:val="center"/>
                </w:tcPr>
                <w:p>
                  <w:pPr>
                    <w:jc w:val="center"/>
                  </w:pPr>
                  <w:r>
                    <w:t>课堂讲授</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48" w:hRule="atLeast"/>
              </w:trPr>
              <w:tc>
                <w:tcPr>
                  <w:tcW w:w="4574" w:type="dxa"/>
                  <w:vAlign w:val="center"/>
                </w:tcPr>
                <w:p>
                  <w:pPr>
                    <w:jc w:val="center"/>
                  </w:pPr>
                  <w:r>
                    <w:t>东京审判与</w:t>
                  </w:r>
                  <w:r>
                    <w:rPr>
                      <w:rFonts w:hint="eastAsia"/>
                    </w:rPr>
                    <w:t>昭和前期日本政治</w:t>
                  </w:r>
                </w:p>
              </w:tc>
              <w:tc>
                <w:tcPr>
                  <w:tcW w:w="851" w:type="dxa"/>
                  <w:vAlign w:val="center"/>
                </w:tcPr>
                <w:p>
                  <w:pPr>
                    <w:jc w:val="center"/>
                  </w:pPr>
                  <w:r>
                    <w:rPr>
                      <w:rFonts w:hint="eastAsia"/>
                    </w:rPr>
                    <w:t>3</w:t>
                  </w:r>
                </w:p>
              </w:tc>
              <w:tc>
                <w:tcPr>
                  <w:tcW w:w="1842" w:type="dxa"/>
                  <w:vAlign w:val="center"/>
                </w:tcPr>
                <w:p>
                  <w:pPr>
                    <w:jc w:val="center"/>
                  </w:pPr>
                  <w:r>
                    <w:t>课堂讲授</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4574" w:type="dxa"/>
                  <w:vAlign w:val="center"/>
                </w:tcPr>
                <w:p>
                  <w:pPr>
                    <w:jc w:val="center"/>
                  </w:pPr>
                  <w:r>
                    <w:t>东京审判与日本侵华罪行史</w:t>
                  </w:r>
                </w:p>
              </w:tc>
              <w:tc>
                <w:tcPr>
                  <w:tcW w:w="851" w:type="dxa"/>
                  <w:vAlign w:val="center"/>
                </w:tcPr>
                <w:p>
                  <w:pPr>
                    <w:jc w:val="center"/>
                  </w:pPr>
                  <w:r>
                    <w:rPr>
                      <w:rFonts w:hint="eastAsia"/>
                    </w:rPr>
                    <w:t>6</w:t>
                  </w:r>
                </w:p>
              </w:tc>
              <w:tc>
                <w:tcPr>
                  <w:tcW w:w="1842" w:type="dxa"/>
                  <w:vAlign w:val="center"/>
                </w:tcPr>
                <w:p>
                  <w:pPr>
                    <w:jc w:val="center"/>
                  </w:pPr>
                  <w:r>
                    <w:t>课堂讲授</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4574" w:type="dxa"/>
                  <w:vAlign w:val="center"/>
                </w:tcPr>
                <w:p>
                  <w:pPr>
                    <w:jc w:val="center"/>
                  </w:pPr>
                  <w:r>
                    <w:t>东京审判与日本侵华暴行</w:t>
                  </w:r>
                </w:p>
              </w:tc>
              <w:tc>
                <w:tcPr>
                  <w:tcW w:w="851" w:type="dxa"/>
                  <w:vAlign w:val="center"/>
                </w:tcPr>
                <w:p>
                  <w:pPr>
                    <w:jc w:val="center"/>
                  </w:pPr>
                  <w:r>
                    <w:rPr>
                      <w:rFonts w:hint="eastAsia"/>
                    </w:rPr>
                    <w:t>3</w:t>
                  </w:r>
                </w:p>
              </w:tc>
              <w:tc>
                <w:tcPr>
                  <w:tcW w:w="1842" w:type="dxa"/>
                  <w:vAlign w:val="center"/>
                </w:tcPr>
                <w:p>
                  <w:pPr>
                    <w:jc w:val="center"/>
                  </w:pPr>
                  <w:r>
                    <w:t>课堂讲授</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0" w:hRule="atLeast"/>
              </w:trPr>
              <w:tc>
                <w:tcPr>
                  <w:tcW w:w="4574" w:type="dxa"/>
                  <w:vAlign w:val="center"/>
                </w:tcPr>
                <w:p>
                  <w:pPr>
                    <w:jc w:val="center"/>
                  </w:pPr>
                  <w:r>
                    <w:t>东京审判与太平洋战争的爆发</w:t>
                  </w:r>
                </w:p>
              </w:tc>
              <w:tc>
                <w:tcPr>
                  <w:tcW w:w="851" w:type="dxa"/>
                  <w:vAlign w:val="center"/>
                </w:tcPr>
                <w:p>
                  <w:pPr>
                    <w:jc w:val="center"/>
                  </w:pPr>
                  <w:r>
                    <w:rPr>
                      <w:rFonts w:hint="eastAsia"/>
                    </w:rPr>
                    <w:t>3</w:t>
                  </w:r>
                </w:p>
              </w:tc>
              <w:tc>
                <w:tcPr>
                  <w:tcW w:w="1842" w:type="dxa"/>
                  <w:vAlign w:val="center"/>
                </w:tcPr>
                <w:p>
                  <w:pPr>
                    <w:jc w:val="center"/>
                  </w:pPr>
                  <w:r>
                    <w:t>课堂讲授</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trPr>
              <w:tc>
                <w:tcPr>
                  <w:tcW w:w="4574" w:type="dxa"/>
                  <w:vAlign w:val="center"/>
                </w:tcPr>
                <w:p>
                  <w:pPr>
                    <w:jc w:val="center"/>
                  </w:pPr>
                  <w:r>
                    <w:t>东京审判与日本太平洋战争暴行</w:t>
                  </w:r>
                </w:p>
              </w:tc>
              <w:tc>
                <w:tcPr>
                  <w:tcW w:w="851" w:type="dxa"/>
                  <w:vAlign w:val="center"/>
                </w:tcPr>
                <w:p>
                  <w:pPr>
                    <w:jc w:val="center"/>
                  </w:pPr>
                  <w:r>
                    <w:rPr>
                      <w:rFonts w:hint="eastAsia"/>
                    </w:rPr>
                    <w:t>2</w:t>
                  </w:r>
                </w:p>
              </w:tc>
              <w:tc>
                <w:tcPr>
                  <w:tcW w:w="1842" w:type="dxa"/>
                  <w:vAlign w:val="center"/>
                </w:tcPr>
                <w:p>
                  <w:pPr>
                    <w:jc w:val="center"/>
                  </w:pPr>
                  <w:r>
                    <w:t>课堂讲授</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2" w:hRule="atLeast"/>
              </w:trPr>
              <w:tc>
                <w:tcPr>
                  <w:tcW w:w="4574" w:type="dxa"/>
                  <w:vAlign w:val="center"/>
                </w:tcPr>
                <w:p>
                  <w:pPr>
                    <w:jc w:val="center"/>
                  </w:pPr>
                  <w:r>
                    <w:t>东京审判与日苏关系</w:t>
                  </w:r>
                </w:p>
              </w:tc>
              <w:tc>
                <w:tcPr>
                  <w:tcW w:w="851" w:type="dxa"/>
                  <w:vAlign w:val="center"/>
                </w:tcPr>
                <w:p>
                  <w:pPr>
                    <w:jc w:val="center"/>
                  </w:pPr>
                  <w:r>
                    <w:rPr>
                      <w:rFonts w:hint="eastAsia"/>
                    </w:rPr>
                    <w:t>1</w:t>
                  </w:r>
                </w:p>
              </w:tc>
              <w:tc>
                <w:tcPr>
                  <w:tcW w:w="1842" w:type="dxa"/>
                  <w:vAlign w:val="center"/>
                </w:tcPr>
                <w:p>
                  <w:pPr>
                    <w:jc w:val="center"/>
                  </w:pPr>
                  <w:r>
                    <w:t>课堂讲授</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0" w:hRule="atLeast"/>
              </w:trPr>
              <w:tc>
                <w:tcPr>
                  <w:tcW w:w="4574" w:type="dxa"/>
                  <w:vAlign w:val="center"/>
                </w:tcPr>
                <w:p>
                  <w:pPr>
                    <w:jc w:val="center"/>
                  </w:pPr>
                  <w:r>
                    <w:t>东京审判与战后亚太政治格局演变</w:t>
                  </w:r>
                </w:p>
              </w:tc>
              <w:tc>
                <w:tcPr>
                  <w:tcW w:w="851" w:type="dxa"/>
                  <w:vAlign w:val="center"/>
                </w:tcPr>
                <w:p>
                  <w:pPr>
                    <w:jc w:val="center"/>
                  </w:pPr>
                  <w:r>
                    <w:rPr>
                      <w:rFonts w:hint="eastAsia"/>
                    </w:rPr>
                    <w:t>2</w:t>
                  </w:r>
                </w:p>
              </w:tc>
              <w:tc>
                <w:tcPr>
                  <w:tcW w:w="1842" w:type="dxa"/>
                  <w:vAlign w:val="center"/>
                </w:tcPr>
                <w:p>
                  <w:pPr>
                    <w:jc w:val="center"/>
                  </w:pPr>
                  <w:r>
                    <w:t>课堂讲授</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8" w:hRule="atLeast"/>
              </w:trPr>
              <w:tc>
                <w:tcPr>
                  <w:tcW w:w="4574" w:type="dxa"/>
                  <w:vAlign w:val="center"/>
                </w:tcPr>
                <w:p>
                  <w:pPr>
                    <w:jc w:val="center"/>
                  </w:pPr>
                  <w:r>
                    <w:rPr>
                      <w:rFonts w:hint="eastAsia"/>
                    </w:rPr>
                    <w:t>期末作业指导与讨论</w:t>
                  </w:r>
                </w:p>
              </w:tc>
              <w:tc>
                <w:tcPr>
                  <w:tcW w:w="851" w:type="dxa"/>
                  <w:vAlign w:val="center"/>
                </w:tcPr>
                <w:p>
                  <w:pPr>
                    <w:jc w:val="center"/>
                  </w:pPr>
                  <w:r>
                    <w:rPr>
                      <w:rFonts w:hint="eastAsia"/>
                    </w:rPr>
                    <w:t>2</w:t>
                  </w:r>
                </w:p>
              </w:tc>
              <w:tc>
                <w:tcPr>
                  <w:tcW w:w="1842" w:type="dxa"/>
                  <w:vAlign w:val="center"/>
                </w:tcPr>
                <w:p>
                  <w:pPr>
                    <w:jc w:val="center"/>
                  </w:pPr>
                  <w:r>
                    <w:t>课堂讨论</w:t>
                  </w:r>
                </w:p>
              </w:tc>
            </w:tr>
          </w:tbl>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trPr>
        <w:tc>
          <w:tcPr>
            <w:tcW w:w="2406" w:type="dxa"/>
            <w:vAlign w:val="center"/>
          </w:tcPr>
          <w:p>
            <w:pPr>
              <w:jc w:val="center"/>
            </w:pPr>
            <w:r>
              <w:rPr>
                <w:rFonts w:hint="eastAsia"/>
                <w:color w:val="C00000"/>
              </w:rPr>
              <w:t>*</w:t>
            </w:r>
            <w:r>
              <w:rPr>
                <w:rFonts w:hint="eastAsia"/>
              </w:rPr>
              <w:t>考核方式(Grading)</w:t>
            </w:r>
          </w:p>
        </w:tc>
        <w:tc>
          <w:tcPr>
            <w:tcW w:w="7518" w:type="dxa"/>
            <w:gridSpan w:val="7"/>
            <w:vAlign w:val="center"/>
          </w:tcPr>
          <w:p>
            <w:pPr>
              <w:jc w:val="left"/>
            </w:pPr>
            <w:r>
              <w:rPr>
                <w:rFonts w:hint="eastAsia"/>
              </w:rPr>
              <w:t>平时成绩30%；期末作业70%（长篇读书报告或小论文）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6" w:hRule="atLeast"/>
        </w:trPr>
        <w:tc>
          <w:tcPr>
            <w:tcW w:w="2406" w:type="dxa"/>
            <w:vAlign w:val="center"/>
          </w:tcPr>
          <w:p>
            <w:pPr>
              <w:jc w:val="center"/>
            </w:pPr>
            <w:r>
              <w:rPr>
                <w:rFonts w:hint="eastAsia"/>
                <w:color w:val="C00000"/>
              </w:rPr>
              <w:t>*</w:t>
            </w:r>
            <w:r>
              <w:rPr>
                <w:rFonts w:hint="eastAsia"/>
              </w:rPr>
              <w:t>教材或参考资料(Textbooks &amp; Other Materials)</w:t>
            </w:r>
          </w:p>
        </w:tc>
        <w:tc>
          <w:tcPr>
            <w:tcW w:w="7518" w:type="dxa"/>
            <w:gridSpan w:val="7"/>
            <w:vAlign w:val="center"/>
          </w:tcPr>
          <w:p>
            <w:pPr>
              <w:spacing w:line="360" w:lineRule="auto"/>
              <w:jc w:val="left"/>
            </w:pPr>
          </w:p>
          <w:p>
            <w:pPr>
              <w:spacing w:line="360" w:lineRule="auto"/>
              <w:jc w:val="left"/>
            </w:pPr>
            <w:r>
              <w:t>教材</w:t>
            </w:r>
            <w:r>
              <w:rPr>
                <w:rFonts w:hint="eastAsia"/>
              </w:rPr>
              <w:t>：</w:t>
            </w:r>
          </w:p>
          <w:p>
            <w:pPr>
              <w:spacing w:line="360" w:lineRule="auto"/>
              <w:jc w:val="left"/>
            </w:pPr>
            <w:r>
              <w:rPr>
                <w:rFonts w:hint="eastAsia"/>
              </w:rPr>
              <w:t>（1）</w:t>
            </w:r>
            <w:r>
              <w:t>程兆奇</w:t>
            </w:r>
            <w:r>
              <w:rPr>
                <w:rFonts w:hint="eastAsia"/>
              </w:rPr>
              <w:t>、</w:t>
            </w:r>
            <w:r>
              <w:t>龚志伟</w:t>
            </w:r>
            <w:r>
              <w:rPr>
                <w:rFonts w:hint="eastAsia"/>
              </w:rPr>
              <w:t>、</w:t>
            </w:r>
            <w:r>
              <w:t>赵玉蕙编</w:t>
            </w:r>
            <w:r>
              <w:rPr>
                <w:rFonts w:hint="eastAsia"/>
              </w:rPr>
              <w:t>：《东京审判研究手册》，上海交通大学出版社，2013年。</w:t>
            </w:r>
          </w:p>
          <w:p>
            <w:pPr>
              <w:spacing w:line="360" w:lineRule="auto"/>
              <w:jc w:val="left"/>
              <w:rPr>
                <w:rFonts w:ascii="Times New Roman" w:hAnsi="Times New Roman" w:cs="Times New Roman"/>
                <w:i/>
              </w:rPr>
            </w:pPr>
            <w:r>
              <w:rPr>
                <w:rFonts w:hint="eastAsia"/>
              </w:rPr>
              <w:t>（2）户谷由麻著、赵玉蕙译：《东京审判:第二次世界大战后对法与正义的追求》，上海交通大学出版社，2016年。</w:t>
            </w:r>
            <w:r>
              <w:rPr>
                <w:rFonts w:ascii="Times New Roman" w:hAnsi="Times New Roman" w:cs="Times New Roman"/>
              </w:rPr>
              <w:t>Totani Yuma,</w:t>
            </w:r>
            <w:r>
              <w:rPr>
                <w:rFonts w:ascii="Times New Roman" w:hAnsi="Times New Roman" w:cs="Times New Roman"/>
                <w:i/>
              </w:rPr>
              <w:t xml:space="preserve"> The Tokyo War Crimes Trial</w:t>
            </w:r>
          </w:p>
          <w:p>
            <w:pPr>
              <w:spacing w:line="360" w:lineRule="auto"/>
              <w:jc w:val="left"/>
              <w:rPr>
                <w:rFonts w:ascii="Times New Roman" w:hAnsi="Times New Roman" w:cs="Times New Roman"/>
              </w:rPr>
            </w:pPr>
            <w:r>
              <w:rPr>
                <w:rFonts w:ascii="Times New Roman" w:hAnsi="Times New Roman" w:cs="Times New Roman"/>
                <w:i/>
              </w:rPr>
              <w:t>The Pursuit of Justice in the Wake of World War II</w:t>
            </w:r>
            <w:r>
              <w:rPr>
                <w:rFonts w:ascii="Times New Roman" w:hAnsi="Times New Roman" w:cs="Times New Roman"/>
              </w:rPr>
              <w:t>, Cambridge Mass., Harvard University East Asia Center, 2008.</w:t>
            </w:r>
          </w:p>
          <w:p>
            <w:pPr>
              <w:jc w:val="left"/>
            </w:pPr>
            <w:r>
              <w:rPr>
                <w:rFonts w:hint="eastAsia"/>
              </w:rPr>
              <w:t>（3）</w:t>
            </w:r>
            <w:r>
              <w:rPr>
                <w:rFonts w:ascii="Times New Roman" w:hAnsi="Times New Roman" w:cs="Times New Roman"/>
              </w:rPr>
              <w:t>Judgment of IMTFE.</w:t>
            </w:r>
            <w:r>
              <w:rPr>
                <w:rFonts w:hint="eastAsia"/>
              </w:rPr>
              <w:t xml:space="preserve"> （任课教师会下发东京审判的判决书英文电子档）</w:t>
            </w:r>
          </w:p>
          <w:p>
            <w:pPr>
              <w:jc w:val="left"/>
              <w:rPr>
                <w:color w:val="00B05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8" w:hRule="atLeast"/>
        </w:trPr>
        <w:tc>
          <w:tcPr>
            <w:tcW w:w="2406" w:type="dxa"/>
            <w:vAlign w:val="center"/>
          </w:tcPr>
          <w:p>
            <w:pPr>
              <w:jc w:val="center"/>
            </w:pPr>
            <w:r>
              <w:rPr>
                <w:rFonts w:hint="eastAsia"/>
              </w:rPr>
              <w:t>其它（More）</w:t>
            </w:r>
          </w:p>
        </w:tc>
        <w:tc>
          <w:tcPr>
            <w:tcW w:w="7518" w:type="dxa"/>
            <w:gridSpan w:val="7"/>
            <w:vAlign w:val="center"/>
          </w:tcPr>
          <w:p>
            <w:pPr>
              <w:jc w:val="center"/>
              <w:rPr>
                <w:color w:val="00B05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8" w:hRule="atLeast"/>
        </w:trPr>
        <w:tc>
          <w:tcPr>
            <w:tcW w:w="2406" w:type="dxa"/>
            <w:vAlign w:val="center"/>
          </w:tcPr>
          <w:p>
            <w:pPr>
              <w:jc w:val="center"/>
            </w:pPr>
            <w:r>
              <w:rPr>
                <w:rFonts w:hint="eastAsia"/>
              </w:rPr>
              <w:t>备注（Notes）</w:t>
            </w:r>
          </w:p>
        </w:tc>
        <w:tc>
          <w:tcPr>
            <w:tcW w:w="7518" w:type="dxa"/>
            <w:gridSpan w:val="7"/>
            <w:vAlign w:val="center"/>
          </w:tcPr>
          <w:p>
            <w:pPr>
              <w:jc w:val="center"/>
              <w:rPr>
                <w:color w:val="00B050"/>
              </w:rPr>
            </w:pPr>
          </w:p>
        </w:tc>
      </w:tr>
    </w:tbl>
    <w:p>
      <w:pPr>
        <w:spacing w:before="312" w:beforeLines="100"/>
        <w:jc w:val="left"/>
      </w:pPr>
      <w:r>
        <w:rPr>
          <w:rFonts w:hint="eastAsia"/>
        </w:rPr>
        <w:t>备注说明：</w:t>
      </w:r>
    </w:p>
    <w:p>
      <w:pPr>
        <w:spacing w:line="400" w:lineRule="exact"/>
        <w:ind w:firstLine="420" w:firstLineChars="200"/>
      </w:pPr>
      <w:r>
        <w:rPr>
          <w:rFonts w:hint="eastAsia"/>
        </w:rPr>
        <w:t>1．带*内容为必填项。</w:t>
      </w:r>
    </w:p>
    <w:p>
      <w:pPr>
        <w:spacing w:line="400" w:lineRule="exact"/>
        <w:ind w:firstLine="420" w:firstLineChars="200"/>
      </w:pPr>
      <w:r>
        <w:rPr>
          <w:rFonts w:hint="eastAsia"/>
        </w:rPr>
        <w:t>2．课程简介字数为300-500字；课程大纲以表述清楚教学安排为宜，字数不限。</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Symeteo">
    <w:altName w:val="Segoe Print"/>
    <w:panose1 w:val="00000000000000000000"/>
    <w:charset w:val="00"/>
    <w:family w:val="auto"/>
    <w:pitch w:val="default"/>
    <w:sig w:usb0="00000000" w:usb1="00000000" w:usb2="00000000" w:usb3="00000000" w:csb0="000001FF"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hint="eastAsia"/>
      </w:rPr>
      <w:t>2019夏季学期</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E4D8F"/>
    <w:multiLevelType w:val="multilevel"/>
    <w:tmpl w:val="03FE4D8F"/>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1B56214"/>
    <w:multiLevelType w:val="multilevel"/>
    <w:tmpl w:val="51B56214"/>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7C052355"/>
    <w:multiLevelType w:val="multilevel"/>
    <w:tmpl w:val="7C052355"/>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061D"/>
    <w:rsid w:val="00016D09"/>
    <w:rsid w:val="00046DFD"/>
    <w:rsid w:val="000547B4"/>
    <w:rsid w:val="0006061D"/>
    <w:rsid w:val="00065C8F"/>
    <w:rsid w:val="000A3107"/>
    <w:rsid w:val="000A548F"/>
    <w:rsid w:val="000A6A44"/>
    <w:rsid w:val="000B4F6B"/>
    <w:rsid w:val="000B55FE"/>
    <w:rsid w:val="000B598C"/>
    <w:rsid w:val="000B5B61"/>
    <w:rsid w:val="000C26D1"/>
    <w:rsid w:val="000C4BA4"/>
    <w:rsid w:val="000D174E"/>
    <w:rsid w:val="000D2792"/>
    <w:rsid w:val="000D3745"/>
    <w:rsid w:val="000E1574"/>
    <w:rsid w:val="00100EAB"/>
    <w:rsid w:val="00113507"/>
    <w:rsid w:val="00124F58"/>
    <w:rsid w:val="001276C9"/>
    <w:rsid w:val="00133ABB"/>
    <w:rsid w:val="00135619"/>
    <w:rsid w:val="001473BE"/>
    <w:rsid w:val="00152B75"/>
    <w:rsid w:val="00153410"/>
    <w:rsid w:val="001552DE"/>
    <w:rsid w:val="00160181"/>
    <w:rsid w:val="00166139"/>
    <w:rsid w:val="00177250"/>
    <w:rsid w:val="00181BE7"/>
    <w:rsid w:val="00194699"/>
    <w:rsid w:val="001A4FE4"/>
    <w:rsid w:val="001C7AD8"/>
    <w:rsid w:val="001D0BF5"/>
    <w:rsid w:val="001D5207"/>
    <w:rsid w:val="001E598C"/>
    <w:rsid w:val="001E73FD"/>
    <w:rsid w:val="001F1E52"/>
    <w:rsid w:val="001F62E7"/>
    <w:rsid w:val="00202C11"/>
    <w:rsid w:val="00206101"/>
    <w:rsid w:val="00207DEF"/>
    <w:rsid w:val="002202C2"/>
    <w:rsid w:val="00227A34"/>
    <w:rsid w:val="0026026C"/>
    <w:rsid w:val="0026569D"/>
    <w:rsid w:val="00266CD6"/>
    <w:rsid w:val="0027360E"/>
    <w:rsid w:val="0028182B"/>
    <w:rsid w:val="0028463A"/>
    <w:rsid w:val="002A157D"/>
    <w:rsid w:val="002A4A71"/>
    <w:rsid w:val="002A6549"/>
    <w:rsid w:val="002A7980"/>
    <w:rsid w:val="002B21B9"/>
    <w:rsid w:val="002B4B7E"/>
    <w:rsid w:val="002B6537"/>
    <w:rsid w:val="002D4CDC"/>
    <w:rsid w:val="002D6E90"/>
    <w:rsid w:val="003036D4"/>
    <w:rsid w:val="003237D3"/>
    <w:rsid w:val="00325907"/>
    <w:rsid w:val="00341CDD"/>
    <w:rsid w:val="003515D5"/>
    <w:rsid w:val="003515D9"/>
    <w:rsid w:val="00366702"/>
    <w:rsid w:val="003715C0"/>
    <w:rsid w:val="003752A7"/>
    <w:rsid w:val="00377008"/>
    <w:rsid w:val="003948E3"/>
    <w:rsid w:val="00395246"/>
    <w:rsid w:val="0039570D"/>
    <w:rsid w:val="003A2569"/>
    <w:rsid w:val="003C06A4"/>
    <w:rsid w:val="003C4422"/>
    <w:rsid w:val="003D10F5"/>
    <w:rsid w:val="003D11B9"/>
    <w:rsid w:val="003D79CB"/>
    <w:rsid w:val="003E65CC"/>
    <w:rsid w:val="003F166B"/>
    <w:rsid w:val="003F5120"/>
    <w:rsid w:val="00410DFB"/>
    <w:rsid w:val="00422BBA"/>
    <w:rsid w:val="00446816"/>
    <w:rsid w:val="00461685"/>
    <w:rsid w:val="00471CF6"/>
    <w:rsid w:val="00474457"/>
    <w:rsid w:val="00487AD7"/>
    <w:rsid w:val="004921CE"/>
    <w:rsid w:val="004C2494"/>
    <w:rsid w:val="004D4153"/>
    <w:rsid w:val="004D62C4"/>
    <w:rsid w:val="004E283B"/>
    <w:rsid w:val="005031D5"/>
    <w:rsid w:val="005036F0"/>
    <w:rsid w:val="00511D50"/>
    <w:rsid w:val="005148C8"/>
    <w:rsid w:val="00520B0A"/>
    <w:rsid w:val="00547225"/>
    <w:rsid w:val="00565461"/>
    <w:rsid w:val="00577467"/>
    <w:rsid w:val="00577ECF"/>
    <w:rsid w:val="00582817"/>
    <w:rsid w:val="005871E0"/>
    <w:rsid w:val="005B52BE"/>
    <w:rsid w:val="005D1257"/>
    <w:rsid w:val="005D3D39"/>
    <w:rsid w:val="005E2693"/>
    <w:rsid w:val="005F49AB"/>
    <w:rsid w:val="0061590F"/>
    <w:rsid w:val="0062635F"/>
    <w:rsid w:val="00647F8A"/>
    <w:rsid w:val="00656964"/>
    <w:rsid w:val="00663B60"/>
    <w:rsid w:val="00686943"/>
    <w:rsid w:val="006A13AE"/>
    <w:rsid w:val="006D2473"/>
    <w:rsid w:val="006D3645"/>
    <w:rsid w:val="006F1849"/>
    <w:rsid w:val="006F3C1D"/>
    <w:rsid w:val="006F49C1"/>
    <w:rsid w:val="006F74A0"/>
    <w:rsid w:val="00705456"/>
    <w:rsid w:val="00707583"/>
    <w:rsid w:val="00716E16"/>
    <w:rsid w:val="0074127F"/>
    <w:rsid w:val="00742116"/>
    <w:rsid w:val="00784A11"/>
    <w:rsid w:val="00795F2D"/>
    <w:rsid w:val="007A19E1"/>
    <w:rsid w:val="007B04F8"/>
    <w:rsid w:val="007D2F1D"/>
    <w:rsid w:val="007D4099"/>
    <w:rsid w:val="007E47EB"/>
    <w:rsid w:val="007E4B77"/>
    <w:rsid w:val="00801C22"/>
    <w:rsid w:val="0080480D"/>
    <w:rsid w:val="008158EA"/>
    <w:rsid w:val="00816B52"/>
    <w:rsid w:val="00823ACC"/>
    <w:rsid w:val="00825C1B"/>
    <w:rsid w:val="00843C48"/>
    <w:rsid w:val="00851A7D"/>
    <w:rsid w:val="00857453"/>
    <w:rsid w:val="0086123A"/>
    <w:rsid w:val="00873E2C"/>
    <w:rsid w:val="00890F38"/>
    <w:rsid w:val="008954B7"/>
    <w:rsid w:val="008A7203"/>
    <w:rsid w:val="008B46C9"/>
    <w:rsid w:val="008F05C4"/>
    <w:rsid w:val="008F7DAE"/>
    <w:rsid w:val="00901F86"/>
    <w:rsid w:val="009034A8"/>
    <w:rsid w:val="00904EBA"/>
    <w:rsid w:val="0090604F"/>
    <w:rsid w:val="009202E6"/>
    <w:rsid w:val="009312D6"/>
    <w:rsid w:val="00931F97"/>
    <w:rsid w:val="009325A7"/>
    <w:rsid w:val="00933E31"/>
    <w:rsid w:val="00936262"/>
    <w:rsid w:val="00942EDD"/>
    <w:rsid w:val="0094583E"/>
    <w:rsid w:val="009521A6"/>
    <w:rsid w:val="00954D35"/>
    <w:rsid w:val="009744FC"/>
    <w:rsid w:val="00983A28"/>
    <w:rsid w:val="009A0D3D"/>
    <w:rsid w:val="009A13D5"/>
    <w:rsid w:val="009A1690"/>
    <w:rsid w:val="009B5664"/>
    <w:rsid w:val="009C2014"/>
    <w:rsid w:val="009D5AE8"/>
    <w:rsid w:val="009E73FA"/>
    <w:rsid w:val="00A16565"/>
    <w:rsid w:val="00A278A4"/>
    <w:rsid w:val="00A3078F"/>
    <w:rsid w:val="00A37564"/>
    <w:rsid w:val="00A54211"/>
    <w:rsid w:val="00A54CA9"/>
    <w:rsid w:val="00A61B1F"/>
    <w:rsid w:val="00A65DEA"/>
    <w:rsid w:val="00A70539"/>
    <w:rsid w:val="00A76B03"/>
    <w:rsid w:val="00A827F8"/>
    <w:rsid w:val="00A8678C"/>
    <w:rsid w:val="00A90877"/>
    <w:rsid w:val="00A960D0"/>
    <w:rsid w:val="00AA605C"/>
    <w:rsid w:val="00AA7A27"/>
    <w:rsid w:val="00AC1B9C"/>
    <w:rsid w:val="00AC5156"/>
    <w:rsid w:val="00AD0114"/>
    <w:rsid w:val="00AD3765"/>
    <w:rsid w:val="00AD7DBD"/>
    <w:rsid w:val="00AD7E02"/>
    <w:rsid w:val="00AE0C6B"/>
    <w:rsid w:val="00AE6C69"/>
    <w:rsid w:val="00B01B19"/>
    <w:rsid w:val="00B05FFC"/>
    <w:rsid w:val="00B10595"/>
    <w:rsid w:val="00B20254"/>
    <w:rsid w:val="00B328AD"/>
    <w:rsid w:val="00B35D12"/>
    <w:rsid w:val="00B418EF"/>
    <w:rsid w:val="00B41900"/>
    <w:rsid w:val="00B74383"/>
    <w:rsid w:val="00B970D8"/>
    <w:rsid w:val="00BA48CE"/>
    <w:rsid w:val="00BE022B"/>
    <w:rsid w:val="00BE6C64"/>
    <w:rsid w:val="00C040DE"/>
    <w:rsid w:val="00C074D2"/>
    <w:rsid w:val="00C46B87"/>
    <w:rsid w:val="00C6749A"/>
    <w:rsid w:val="00C73038"/>
    <w:rsid w:val="00C81D7A"/>
    <w:rsid w:val="00C85828"/>
    <w:rsid w:val="00C913B9"/>
    <w:rsid w:val="00CA27C3"/>
    <w:rsid w:val="00CB685A"/>
    <w:rsid w:val="00CD1D89"/>
    <w:rsid w:val="00CD4BC7"/>
    <w:rsid w:val="00CF32A8"/>
    <w:rsid w:val="00CF6E75"/>
    <w:rsid w:val="00CF7312"/>
    <w:rsid w:val="00D05BFD"/>
    <w:rsid w:val="00D130CC"/>
    <w:rsid w:val="00D166F7"/>
    <w:rsid w:val="00D1758F"/>
    <w:rsid w:val="00D23BC7"/>
    <w:rsid w:val="00D41A07"/>
    <w:rsid w:val="00D43323"/>
    <w:rsid w:val="00D47A4D"/>
    <w:rsid w:val="00D644B5"/>
    <w:rsid w:val="00D73A3C"/>
    <w:rsid w:val="00D85250"/>
    <w:rsid w:val="00D858FF"/>
    <w:rsid w:val="00DA1869"/>
    <w:rsid w:val="00DB5794"/>
    <w:rsid w:val="00DC32C4"/>
    <w:rsid w:val="00DC7BDC"/>
    <w:rsid w:val="00DD5774"/>
    <w:rsid w:val="00DE6073"/>
    <w:rsid w:val="00DF1EB7"/>
    <w:rsid w:val="00DF671F"/>
    <w:rsid w:val="00E025AD"/>
    <w:rsid w:val="00E06426"/>
    <w:rsid w:val="00E30BA9"/>
    <w:rsid w:val="00E335B2"/>
    <w:rsid w:val="00E43921"/>
    <w:rsid w:val="00E44C76"/>
    <w:rsid w:val="00E52A7E"/>
    <w:rsid w:val="00E54B0F"/>
    <w:rsid w:val="00E5505D"/>
    <w:rsid w:val="00E71D19"/>
    <w:rsid w:val="00E83496"/>
    <w:rsid w:val="00E836B6"/>
    <w:rsid w:val="00E85F6E"/>
    <w:rsid w:val="00E90402"/>
    <w:rsid w:val="00E92FEB"/>
    <w:rsid w:val="00E953DB"/>
    <w:rsid w:val="00EA259D"/>
    <w:rsid w:val="00EA6310"/>
    <w:rsid w:val="00EB20C0"/>
    <w:rsid w:val="00EC1070"/>
    <w:rsid w:val="00EC328A"/>
    <w:rsid w:val="00ED09ED"/>
    <w:rsid w:val="00ED0AD5"/>
    <w:rsid w:val="00ED23FC"/>
    <w:rsid w:val="00ED2940"/>
    <w:rsid w:val="00ED30B5"/>
    <w:rsid w:val="00EE0B21"/>
    <w:rsid w:val="00EF4186"/>
    <w:rsid w:val="00F10555"/>
    <w:rsid w:val="00F165AF"/>
    <w:rsid w:val="00F262EB"/>
    <w:rsid w:val="00F45BDC"/>
    <w:rsid w:val="00F46C0A"/>
    <w:rsid w:val="00F746B7"/>
    <w:rsid w:val="00F85287"/>
    <w:rsid w:val="00F91CC2"/>
    <w:rsid w:val="00F953E3"/>
    <w:rsid w:val="00FA0EA6"/>
    <w:rsid w:val="00FB046D"/>
    <w:rsid w:val="00FB5408"/>
    <w:rsid w:val="00FC254B"/>
    <w:rsid w:val="00FC49BC"/>
    <w:rsid w:val="00FC687D"/>
    <w:rsid w:val="00FC7DBB"/>
    <w:rsid w:val="00FE20EB"/>
    <w:rsid w:val="00FE3349"/>
    <w:rsid w:val="00FE4D40"/>
    <w:rsid w:val="00FF56BF"/>
    <w:rsid w:val="42C420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8">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2"/>
    <w:semiHidden/>
    <w:unhideWhenUsed/>
    <w:uiPriority w:val="99"/>
    <w:rPr>
      <w:sz w:val="18"/>
      <w:szCs w:val="18"/>
    </w:rPr>
  </w:style>
  <w:style w:type="paragraph" w:styleId="3">
    <w:name w:val="footer"/>
    <w:basedOn w:val="1"/>
    <w:link w:val="14"/>
    <w:unhideWhenUsed/>
    <w:uiPriority w:val="99"/>
    <w:pPr>
      <w:tabs>
        <w:tab w:val="center" w:pos="4153"/>
        <w:tab w:val="right" w:pos="8306"/>
      </w:tabs>
      <w:snapToGrid w:val="0"/>
      <w:jc w:val="left"/>
    </w:pPr>
    <w:rPr>
      <w:sz w:val="18"/>
      <w:szCs w:val="18"/>
    </w:rPr>
  </w:style>
  <w:style w:type="paragraph" w:styleId="4">
    <w:name w:val="header"/>
    <w:basedOn w:val="1"/>
    <w:link w:val="13"/>
    <w:unhideWhenUsed/>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22"/>
    <w:rPr>
      <w:b/>
      <w:bCs/>
    </w:rPr>
  </w:style>
  <w:style w:type="character" w:styleId="7">
    <w:name w:val="Hyperlink"/>
    <w:basedOn w:val="5"/>
    <w:semiHidden/>
    <w:unhideWhenUsed/>
    <w:uiPriority w:val="99"/>
    <w:rPr>
      <w:color w:val="0000FF"/>
      <w:u w:val="none"/>
    </w:rPr>
  </w:style>
  <w:style w:type="table" w:styleId="9">
    <w:name w:val="Table Grid"/>
    <w:basedOn w:val="8"/>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styleId="10">
    <w:name w:val="List Paragraph"/>
    <w:basedOn w:val="1"/>
    <w:qFormat/>
    <w:uiPriority w:val="34"/>
    <w:pPr>
      <w:ind w:firstLine="420" w:firstLineChars="200"/>
    </w:pPr>
  </w:style>
  <w:style w:type="paragraph" w:customStyle="1" w:styleId="11">
    <w:name w:val="样式2"/>
    <w:basedOn w:val="1"/>
    <w:uiPriority w:val="0"/>
    <w:rPr>
      <w:rFonts w:ascii="宋体" w:hAnsi="宋体" w:eastAsia="宋体" w:cs="Symeteo"/>
      <w:bCs/>
      <w:color w:val="FF0000"/>
      <w:sz w:val="24"/>
      <w:szCs w:val="24"/>
    </w:rPr>
  </w:style>
  <w:style w:type="character" w:customStyle="1" w:styleId="12">
    <w:name w:val="批注框文本 Char"/>
    <w:basedOn w:val="5"/>
    <w:link w:val="2"/>
    <w:semiHidden/>
    <w:uiPriority w:val="99"/>
    <w:rPr>
      <w:sz w:val="18"/>
      <w:szCs w:val="18"/>
    </w:rPr>
  </w:style>
  <w:style w:type="character" w:customStyle="1" w:styleId="13">
    <w:name w:val="页眉 Char"/>
    <w:basedOn w:val="5"/>
    <w:link w:val="4"/>
    <w:uiPriority w:val="99"/>
    <w:rPr>
      <w:sz w:val="18"/>
      <w:szCs w:val="18"/>
    </w:rPr>
  </w:style>
  <w:style w:type="character" w:customStyle="1" w:styleId="14">
    <w:name w:val="页脚 Char"/>
    <w:basedOn w:val="5"/>
    <w:link w:val="3"/>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481</Words>
  <Characters>2746</Characters>
  <Lines>22</Lines>
  <Paragraphs>6</Paragraphs>
  <TotalTime>574</TotalTime>
  <ScaleCrop>false</ScaleCrop>
  <LinksUpToDate>false</LinksUpToDate>
  <CharactersWithSpaces>3221</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2014-07-21T01:35:00Z</dcterms:created>
  <dc:creator>xiqiang yang</dc:creator>
  <cp:lastModifiedBy>QY</cp:lastModifiedBy>
  <cp:lastPrinted>2014-04-28T01:34:00Z</cp:lastPrinted>
  <dcterms:modified xsi:type="dcterms:W3CDTF">2018-12-04T06:55:24Z</dcterms:modified>
  <cp:revision>153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