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rFonts w:hint="eastAsia" w:eastAsiaTheme="minorEastAsia"/>
          <w:b w:val="0"/>
          <w:bCs/>
          <w:sz w:val="21"/>
          <w:szCs w:val="21"/>
          <w:lang w:eastAsia="zh-CN"/>
        </w:rPr>
      </w:pPr>
      <w:r>
        <w:rPr>
          <w:rFonts w:hint="eastAsia"/>
          <w:b w:val="0"/>
          <w:bCs/>
          <w:sz w:val="21"/>
          <w:szCs w:val="21"/>
          <w:lang w:eastAsia="zh-CN"/>
        </w:rPr>
        <w:t>附表</w:t>
      </w:r>
      <w:r>
        <w:rPr>
          <w:rFonts w:hint="eastAsia"/>
          <w:b w:val="0"/>
          <w:bCs/>
          <w:sz w:val="21"/>
          <w:szCs w:val="21"/>
          <w:lang w:val="en-US" w:eastAsia="zh-CN"/>
        </w:rPr>
        <w:t>2</w:t>
      </w:r>
    </w:p>
    <w:p>
      <w:pPr>
        <w:spacing w:afterLines="50"/>
        <w:jc w:val="center"/>
        <w:rPr>
          <w:b/>
          <w:sz w:val="32"/>
          <w:szCs w:val="32"/>
        </w:rPr>
      </w:pPr>
      <w:r>
        <w:rPr>
          <w:rFonts w:hint="eastAsia"/>
          <w:b/>
          <w:sz w:val="32"/>
          <w:szCs w:val="32"/>
          <w:lang w:eastAsia="zh-CN"/>
        </w:rPr>
        <w:t>《心理自助</w:t>
      </w:r>
      <w:bookmarkStart w:id="1" w:name="_GoBack"/>
      <w:bookmarkEnd w:id="1"/>
      <w:r>
        <w:rPr>
          <w:rFonts w:hint="eastAsia"/>
          <w:b/>
          <w:sz w:val="32"/>
          <w:szCs w:val="32"/>
          <w:lang w:eastAsia="zh-CN"/>
        </w:rPr>
        <w:t>》</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484"/>
        <w:gridCol w:w="1763"/>
        <w:gridCol w:w="1439"/>
        <w:gridCol w:w="914"/>
        <w:gridCol w:w="1152"/>
        <w:gridCol w:w="1486"/>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9FD3A4"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673" w:type="dxa"/>
            <w:vAlign w:val="center"/>
          </w:tcPr>
          <w:p>
            <w:pPr>
              <w:jc w:val="center"/>
            </w:pPr>
            <w:r>
              <w:rPr>
                <w:rFonts w:hint="eastAsia"/>
              </w:rPr>
              <w:t>课程代码</w:t>
            </w:r>
          </w:p>
          <w:p>
            <w:pPr>
              <w:jc w:val="center"/>
            </w:pPr>
            <w:r>
              <w:t>（</w:t>
            </w:r>
            <w:r>
              <w:rPr>
                <w:rFonts w:hint="eastAsia"/>
              </w:rPr>
              <w:t>Course Code）</w:t>
            </w:r>
          </w:p>
        </w:tc>
        <w:tc>
          <w:tcPr>
            <w:tcW w:w="1484" w:type="dxa"/>
            <w:vAlign w:val="center"/>
          </w:tcPr>
          <w:p>
            <w:pPr>
              <w:jc w:val="center"/>
              <w:rPr>
                <w:rFonts w:ascii="楷体" w:hAnsi="楷体" w:eastAsia="楷体"/>
              </w:rPr>
            </w:pPr>
            <w:r>
              <w:rPr>
                <w:rFonts w:ascii="楷体" w:hAnsi="楷体" w:eastAsia="楷体"/>
              </w:rPr>
              <w:t>S0018</w:t>
            </w:r>
          </w:p>
        </w:tc>
        <w:tc>
          <w:tcPr>
            <w:tcW w:w="1763"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39" w:type="dxa"/>
            <w:vAlign w:val="center"/>
          </w:tcPr>
          <w:p>
            <w:pPr>
              <w:jc w:val="center"/>
              <w:rPr>
                <w:rFonts w:ascii="楷体" w:hAnsi="楷体" w:eastAsia="楷体"/>
              </w:rPr>
            </w:pPr>
            <w:r>
              <w:rPr>
                <w:rFonts w:hint="eastAsia" w:ascii="楷体" w:hAnsi="楷体" w:eastAsia="楷体"/>
              </w:rPr>
              <w:t>32</w:t>
            </w:r>
          </w:p>
        </w:tc>
        <w:tc>
          <w:tcPr>
            <w:tcW w:w="2066" w:type="dxa"/>
            <w:gridSpan w:val="2"/>
            <w:vAlign w:val="center"/>
          </w:tcPr>
          <w:p>
            <w:pPr>
              <w:jc w:val="center"/>
            </w:pPr>
            <w:r>
              <w:rPr>
                <w:rFonts w:hint="eastAsia"/>
                <w:color w:val="FF0000"/>
              </w:rPr>
              <w:t>*</w:t>
            </w:r>
            <w:r>
              <w:t>学分</w:t>
            </w:r>
          </w:p>
          <w:p>
            <w:pPr>
              <w:jc w:val="center"/>
            </w:pPr>
            <w:r>
              <w:t>（Credits）</w:t>
            </w:r>
          </w:p>
        </w:tc>
        <w:tc>
          <w:tcPr>
            <w:tcW w:w="1499" w:type="dxa"/>
            <w:gridSpan w:val="2"/>
            <w:vAlign w:val="center"/>
          </w:tcPr>
          <w:p>
            <w:pPr>
              <w:jc w:val="center"/>
              <w:rPr>
                <w:rFonts w:ascii="楷体" w:hAnsi="楷体" w:eastAsia="楷体"/>
              </w:rPr>
            </w:pPr>
            <w:r>
              <w:rPr>
                <w:rFonts w:hint="eastAsia" w:ascii="楷体" w:hAnsi="楷体" w:eastAsia="楷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73"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8251" w:type="dxa"/>
            <w:gridSpan w:val="7"/>
            <w:vAlign w:val="center"/>
          </w:tcPr>
          <w:p>
            <w:pPr>
              <w:jc w:val="center"/>
              <w:rPr>
                <w:rFonts w:ascii="楷体" w:hAnsi="楷体" w:eastAsia="楷体"/>
              </w:rPr>
            </w:pPr>
            <w:r>
              <w:rPr>
                <w:rFonts w:hint="eastAsia" w:ascii="楷体" w:hAnsi="楷体" w:eastAsia="楷体"/>
              </w:rPr>
              <w:t>心理自助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73" w:type="dxa"/>
            <w:vMerge w:val="continue"/>
          </w:tcPr>
          <w:p>
            <w:pPr>
              <w:jc w:val="left"/>
            </w:pPr>
          </w:p>
        </w:tc>
        <w:tc>
          <w:tcPr>
            <w:tcW w:w="8251" w:type="dxa"/>
            <w:gridSpan w:val="7"/>
            <w:vAlign w:val="center"/>
          </w:tcPr>
          <w:p>
            <w:pPr>
              <w:jc w:val="center"/>
              <w:rPr>
                <w:rFonts w:ascii="楷体" w:hAnsi="楷体" w:eastAsia="楷体"/>
              </w:rPr>
            </w:pPr>
            <w:r>
              <w:rPr>
                <w:rFonts w:ascii="楷体" w:hAnsi="楷体" w:eastAsia="楷体"/>
              </w:rPr>
              <w:t>Self-help in Mental Growth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673" w:type="dxa"/>
            <w:vAlign w:val="center"/>
          </w:tcPr>
          <w:p>
            <w:pPr>
              <w:jc w:val="center"/>
            </w:pPr>
            <w:r>
              <w:rPr>
                <w:rFonts w:hint="eastAsia"/>
              </w:rPr>
              <w:t>课程性质</w:t>
            </w:r>
          </w:p>
          <w:p>
            <w:pPr>
              <w:jc w:val="center"/>
            </w:pPr>
            <w:r>
              <w:rPr>
                <w:rFonts w:hint="eastAsia"/>
              </w:rPr>
              <w:t>(Course Type)</w:t>
            </w:r>
          </w:p>
        </w:tc>
        <w:tc>
          <w:tcPr>
            <w:tcW w:w="8251" w:type="dxa"/>
            <w:gridSpan w:val="7"/>
            <w:vAlign w:val="center"/>
          </w:tcPr>
          <w:p>
            <w:pPr>
              <w:jc w:val="center"/>
              <w:rPr>
                <w:rFonts w:ascii="楷体" w:hAnsi="楷体" w:eastAsia="楷体"/>
              </w:rPr>
            </w:pPr>
            <w:r>
              <w:rPr>
                <w:rFonts w:hint="eastAsia" w:ascii="楷体" w:hAnsi="楷体" w:eastAsia="楷体"/>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rPr>
              <w:t>授课对象</w:t>
            </w:r>
          </w:p>
          <w:p>
            <w:pPr>
              <w:jc w:val="center"/>
            </w:pPr>
            <w:r>
              <w:rPr>
                <w:rFonts w:hint="eastAsia"/>
              </w:rPr>
              <w:t>（Target Audience）</w:t>
            </w:r>
          </w:p>
        </w:tc>
        <w:tc>
          <w:tcPr>
            <w:tcW w:w="8251" w:type="dxa"/>
            <w:gridSpan w:val="7"/>
            <w:vAlign w:val="center"/>
          </w:tcPr>
          <w:p>
            <w:pPr>
              <w:jc w:val="center"/>
              <w:rPr>
                <w:rFonts w:ascii="楷体" w:hAnsi="楷体" w:eastAsia="楷体"/>
              </w:rPr>
            </w:pPr>
            <w:r>
              <w:rPr>
                <w:rFonts w:hint="eastAsia" w:ascii="楷体" w:hAnsi="楷体" w:eastAsia="楷体"/>
              </w:rPr>
              <w:t>全部本科生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rPr>
              <w:t>授课语言</w:t>
            </w:r>
          </w:p>
          <w:p>
            <w:pPr>
              <w:jc w:val="left"/>
            </w:pPr>
            <w:r>
              <w:rPr>
                <w:rFonts w:hint="eastAsia"/>
              </w:rPr>
              <w:t>(Language of Instruction)</w:t>
            </w:r>
          </w:p>
        </w:tc>
        <w:tc>
          <w:tcPr>
            <w:tcW w:w="8251" w:type="dxa"/>
            <w:gridSpan w:val="7"/>
            <w:vAlign w:val="center"/>
          </w:tcPr>
          <w:p>
            <w:pPr>
              <w:jc w:val="center"/>
              <w:rPr>
                <w:rFonts w:ascii="楷体" w:hAnsi="楷体" w:eastAsia="楷体"/>
              </w:rPr>
            </w:pPr>
            <w:r>
              <w:rPr>
                <w:rFonts w:hint="eastAsia" w:ascii="楷体" w:hAnsi="楷体" w:eastAsia="楷体"/>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8251" w:type="dxa"/>
            <w:gridSpan w:val="7"/>
            <w:vAlign w:val="center"/>
          </w:tcPr>
          <w:p>
            <w:pPr>
              <w:jc w:val="center"/>
              <w:rPr>
                <w:rFonts w:ascii="楷体" w:hAnsi="楷体" w:eastAsia="楷体"/>
              </w:rPr>
            </w:pPr>
            <w:r>
              <w:rPr>
                <w:rFonts w:hint="eastAsia" w:ascii="楷体" w:hAnsi="楷体" w:eastAsia="楷体"/>
              </w:rPr>
              <w:t>学指委心理咨询中心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rPr>
              <w:t>先修课程</w:t>
            </w:r>
          </w:p>
          <w:p>
            <w:pPr>
              <w:jc w:val="center"/>
            </w:pPr>
            <w:r>
              <w:rPr>
                <w:rFonts w:hint="eastAsia"/>
              </w:rPr>
              <w:t>（Prerequisite）</w:t>
            </w:r>
          </w:p>
        </w:tc>
        <w:tc>
          <w:tcPr>
            <w:tcW w:w="8251" w:type="dxa"/>
            <w:gridSpan w:val="7"/>
            <w:vAlign w:val="center"/>
          </w:tcPr>
          <w:p>
            <w:pPr>
              <w:jc w:val="center"/>
            </w:pPr>
            <w:r>
              <w:rPr>
                <w:rFonts w:hint="eastAsia"/>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3" w:type="dxa"/>
        </w:trPr>
        <w:tc>
          <w:tcPr>
            <w:tcW w:w="1673" w:type="dxa"/>
            <w:vAlign w:val="center"/>
          </w:tcPr>
          <w:p>
            <w:pPr>
              <w:jc w:val="center"/>
            </w:pPr>
            <w:r>
              <w:rPr>
                <w:rFonts w:hint="eastAsia"/>
              </w:rPr>
              <w:t>授课教师</w:t>
            </w:r>
          </w:p>
          <w:p>
            <w:pPr>
              <w:jc w:val="center"/>
            </w:pPr>
            <w:r>
              <w:rPr>
                <w:rFonts w:hint="eastAsia"/>
              </w:rPr>
              <w:t>（Instructor）</w:t>
            </w:r>
          </w:p>
        </w:tc>
        <w:tc>
          <w:tcPr>
            <w:tcW w:w="3247" w:type="dxa"/>
            <w:gridSpan w:val="2"/>
            <w:vAlign w:val="center"/>
          </w:tcPr>
          <w:p>
            <w:pPr>
              <w:jc w:val="center"/>
              <w:rPr>
                <w:rFonts w:ascii="楷体" w:hAnsi="楷体" w:eastAsia="楷体"/>
              </w:rPr>
            </w:pPr>
            <w:r>
              <w:rPr>
                <w:rFonts w:hint="eastAsia" w:ascii="楷体" w:hAnsi="楷体" w:eastAsia="楷体"/>
              </w:rPr>
              <w:t>陈进</w:t>
            </w:r>
          </w:p>
        </w:tc>
        <w:tc>
          <w:tcPr>
            <w:tcW w:w="2353"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8"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673" w:type="dxa"/>
            <w:vAlign w:val="center"/>
          </w:tcPr>
          <w:p>
            <w:pPr>
              <w:jc w:val="center"/>
            </w:pPr>
            <w:r>
              <w:rPr>
                <w:rFonts w:hint="eastAsia"/>
                <w:color w:val="FF0000"/>
              </w:rPr>
              <w:t>*</w:t>
            </w:r>
            <w:r>
              <w:rPr>
                <w:rFonts w:hint="eastAsia"/>
              </w:rPr>
              <w:t>课程简介</w:t>
            </w:r>
            <w:r>
              <w:rPr>
                <w:rFonts w:hint="eastAsia"/>
                <w:w w:val="90"/>
              </w:rPr>
              <w:t>（Description）</w:t>
            </w:r>
          </w:p>
        </w:tc>
        <w:tc>
          <w:tcPr>
            <w:tcW w:w="8251" w:type="dxa"/>
            <w:gridSpan w:val="7"/>
            <w:vAlign w:val="center"/>
          </w:tcPr>
          <w:p>
            <w:pPr>
              <w:adjustRightInd w:val="0"/>
              <w:snapToGrid w:val="0"/>
              <w:ind w:firstLine="420" w:firstLineChars="200"/>
              <w:jc w:val="left"/>
              <w:rPr>
                <w:rFonts w:ascii="楷体" w:hAnsi="楷体" w:eastAsia="楷体"/>
                <w:szCs w:val="21"/>
              </w:rPr>
            </w:pPr>
            <w:r>
              <w:rPr>
                <w:rFonts w:hint="eastAsia" w:ascii="楷体" w:hAnsi="楷体" w:eastAsia="楷体"/>
                <w:szCs w:val="21"/>
              </w:rPr>
              <w:t>《心理自助》课程集理论性、系统性、普及性和体验性于一体，向学生介绍认识自我、体验自我和调节自我的技巧和方法，为学生搭起一个充分了解自我的平台，搭建学生心理自助互助的桥梁，在学生中普及心理健康知识，传播心理健康理念，让学生了解认识自己的方法和心理调试的技术。</w:t>
            </w:r>
          </w:p>
          <w:p>
            <w:pPr>
              <w:adjustRightInd w:val="0"/>
              <w:snapToGrid w:val="0"/>
              <w:ind w:firstLine="420" w:firstLineChars="200"/>
              <w:jc w:val="left"/>
              <w:rPr>
                <w:rFonts w:ascii="楷体" w:hAnsi="楷体" w:eastAsia="楷体"/>
                <w:szCs w:val="21"/>
              </w:rPr>
            </w:pPr>
            <w:r>
              <w:rPr>
                <w:rFonts w:hint="eastAsia" w:ascii="楷体" w:hAnsi="楷体" w:eastAsia="楷体"/>
                <w:szCs w:val="21"/>
              </w:rPr>
              <w:t>课程内容包括自我认识的方法、人际交往的技巧、时间管理和情绪管理等自我管理的技巧、大学生常见情感问题的认识和处理，以及心理自助资源的寻找和利用等，涉及到学生学习、生活、成长和发展各方面。</w:t>
            </w:r>
          </w:p>
          <w:p>
            <w:r>
              <w:rPr>
                <w:rFonts w:hint="eastAsia" w:ascii="楷体" w:hAnsi="楷体" w:eastAsia="楷体"/>
                <w:szCs w:val="21"/>
              </w:rPr>
              <w:t xml:space="preserve">    本课程主要通过学生的积极参与，采取情绪体验、课堂微心理剧展示和讨论以及讲授等形式向学生介绍有关心理健康的知识，既给学生提供展现自我观点的机会，也让学生从别人的观点中引发自己进一步的思考，从而促进自我的发展和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trPr>
        <w:tc>
          <w:tcPr>
            <w:tcW w:w="1673"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8251" w:type="dxa"/>
            <w:gridSpan w:val="7"/>
            <w:tcBorders>
              <w:bottom w:val="single" w:color="auto" w:sz="4" w:space="0"/>
            </w:tcBorders>
            <w:vAlign w:val="center"/>
          </w:tcPr>
          <w:p>
            <w:pPr>
              <w:ind w:firstLine="420" w:firstLineChars="200"/>
              <w:jc w:val="left"/>
            </w:pPr>
            <w:r>
              <w:t xml:space="preserve">The </w:t>
            </w:r>
            <w:r>
              <w:rPr>
                <w:i/>
              </w:rPr>
              <w:t>self-help in mental health</w:t>
            </w:r>
            <w:r>
              <w:t xml:space="preserve"> aims to introduce the knowledge about mental health to the students. The course guides the students to understand more about themselves. At the same time, it offers an opportunity for the students to know more about the others by understanding the others of the class. In the class, the students will learn more about themselves and the others than the psychological theories and promote their growth-up.</w:t>
            </w:r>
          </w:p>
          <w:p>
            <w:pPr>
              <w:ind w:firstLine="420" w:firstLineChars="200"/>
              <w:jc w:val="left"/>
            </w:pPr>
            <w:r>
              <w:t>The course contains the skills about interpersonal communication, self-knowledge, self-experience, self-control, time management and emotion management. It extends beyond the skills. It also helps the students understand the same thing with different perspectives and search the useful resources and learn how to use them when it’s necessary.</w:t>
            </w:r>
          </w:p>
          <w:p>
            <w:pPr>
              <w:jc w:val="left"/>
            </w:pPr>
            <w:r>
              <w:t xml:space="preserve">  It is not only theoretical, systematical, but also experiential and interesting. It will provide informal support to encourage students to establish balance in their work and to maintain perspective when confronting the pressures that can accompany their academic and other pursuits.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9FD3A4"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673"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8251" w:type="dxa"/>
            <w:gridSpan w:val="7"/>
            <w:vAlign w:val="center"/>
          </w:tcPr>
          <w:p>
            <w:pPr>
              <w:rPr>
                <w:rFonts w:ascii="Calibri" w:hAnsi="Calibri" w:eastAsia="宋体" w:cs="Times New Roman"/>
              </w:rPr>
            </w:pPr>
            <w:r>
              <w:t>1</w:t>
            </w:r>
            <w:r>
              <w:rPr>
                <w:rFonts w:hint="eastAsia"/>
              </w:rPr>
              <w:t>．了解一些心理学知识</w:t>
            </w:r>
            <w:r>
              <w:t>,</w:t>
            </w:r>
            <w:r>
              <w:rPr>
                <w:rFonts w:hint="eastAsia"/>
              </w:rPr>
              <w:t>掌握一定的心理规律，树立心理健康的理念</w:t>
            </w:r>
            <w:r>
              <w:t>;</w:t>
            </w:r>
          </w:p>
          <w:p>
            <w:r>
              <w:t>2</w:t>
            </w:r>
            <w:r>
              <w:rPr>
                <w:rFonts w:hint="eastAsia"/>
              </w:rPr>
              <w:t>．增强对自我的了解，了解自己的性格、气质、智力优势和价值取向；</w:t>
            </w:r>
          </w:p>
          <w:p>
            <w:r>
              <w:t>3</w:t>
            </w:r>
            <w:r>
              <w:rPr>
                <w:rFonts w:hint="eastAsia"/>
              </w:rPr>
              <w:t>．掌握一定的心理调节的技巧，增强自己的心理调节和应对能力；</w:t>
            </w:r>
          </w:p>
          <w:p>
            <w:r>
              <w:t>4</w:t>
            </w:r>
            <w:r>
              <w:rPr>
                <w:rFonts w:hint="eastAsia"/>
              </w:rPr>
              <w:t>．能站在他人的角度了解对方，增进人际交往的能力和技巧；</w:t>
            </w:r>
          </w:p>
          <w:p>
            <w:r>
              <w:t xml:space="preserve">5.  </w:t>
            </w:r>
            <w:r>
              <w:rPr>
                <w:rFonts w:hint="eastAsia"/>
              </w:rPr>
              <w:t>学习情感交流和异性交往的技巧，学会处理异性交往中的挑战；</w:t>
            </w:r>
          </w:p>
          <w:p>
            <w:r>
              <w:t xml:space="preserve">6.  </w:t>
            </w:r>
            <w:r>
              <w:rPr>
                <w:rFonts w:hint="eastAsia"/>
              </w:rPr>
              <w:t>掌握常用的寻求心理资源的方法。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64" w:hRule="atLeast"/>
        </w:trPr>
        <w:tc>
          <w:tcPr>
            <w:tcW w:w="1673"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8251" w:type="dxa"/>
            <w:gridSpan w:val="7"/>
            <w:vAlign w:val="center"/>
          </w:tcPr>
          <w:tbl>
            <w:tblPr>
              <w:tblStyle w:val="9"/>
              <w:tblW w:w="8034"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709"/>
              <w:gridCol w:w="1134"/>
              <w:gridCol w:w="1701"/>
              <w:gridCol w:w="212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202" w:type="dxa"/>
                </w:tcPr>
                <w:p>
                  <w:pPr>
                    <w:jc w:val="center"/>
                  </w:pPr>
                  <w:r>
                    <w:rPr>
                      <w:rFonts w:hint="eastAsia"/>
                    </w:rPr>
                    <w:t>教学内容</w:t>
                  </w:r>
                </w:p>
              </w:tc>
              <w:tc>
                <w:tcPr>
                  <w:tcW w:w="709" w:type="dxa"/>
                </w:tcPr>
                <w:p>
                  <w:pPr>
                    <w:jc w:val="center"/>
                  </w:pPr>
                  <w:r>
                    <w:rPr>
                      <w:rFonts w:hint="eastAsia"/>
                    </w:rPr>
                    <w:t>学时</w:t>
                  </w:r>
                </w:p>
              </w:tc>
              <w:tc>
                <w:tcPr>
                  <w:tcW w:w="1134" w:type="dxa"/>
                </w:tcPr>
                <w:p>
                  <w:pPr>
                    <w:jc w:val="center"/>
                  </w:pPr>
                  <w:r>
                    <w:rPr>
                      <w:rFonts w:hint="eastAsia"/>
                    </w:rPr>
                    <w:t>教学方式</w:t>
                  </w:r>
                </w:p>
              </w:tc>
              <w:tc>
                <w:tcPr>
                  <w:tcW w:w="1701" w:type="dxa"/>
                </w:tcPr>
                <w:p>
                  <w:pPr>
                    <w:jc w:val="center"/>
                  </w:pPr>
                  <w:r>
                    <w:rPr>
                      <w:rFonts w:hint="eastAsia"/>
                    </w:rPr>
                    <w:t>作业及要求</w:t>
                  </w:r>
                </w:p>
              </w:tc>
              <w:tc>
                <w:tcPr>
                  <w:tcW w:w="212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202" w:type="dxa"/>
                  <w:vAlign w:val="center"/>
                </w:tcPr>
                <w:p>
                  <w:pPr>
                    <w:rPr>
                      <w:rFonts w:ascii="楷体" w:hAnsi="楷体" w:eastAsia="楷体"/>
                    </w:rPr>
                  </w:pPr>
                  <w:r>
                    <w:rPr>
                      <w:rFonts w:hint="eastAsia" w:ascii="楷体" w:hAnsi="楷体" w:eastAsia="楷体"/>
                    </w:rPr>
                    <w:t>团队关系的建立</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团体活动</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熟悉团队中的成员，建立与成员之间的信任、合作关系；</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202" w:type="dxa"/>
                  <w:vAlign w:val="center"/>
                </w:tcPr>
                <w:p>
                  <w:pPr>
                    <w:rPr>
                      <w:rFonts w:ascii="楷体" w:hAnsi="楷体" w:eastAsia="楷体"/>
                    </w:rPr>
                  </w:pPr>
                  <w:r>
                    <w:rPr>
                      <w:rFonts w:hint="eastAsia" w:ascii="楷体" w:hAnsi="楷体" w:eastAsia="楷体"/>
                    </w:rPr>
                    <w:t>心理学概览</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理论讲授</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了解心理学的基础，掌握不同领域心理学在生活中的应用；</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202" w:type="dxa"/>
                  <w:vAlign w:val="center"/>
                </w:tcPr>
                <w:p>
                  <w:pPr>
                    <w:rPr>
                      <w:rFonts w:ascii="楷体" w:hAnsi="楷体" w:eastAsia="楷体"/>
                    </w:rPr>
                  </w:pPr>
                  <w:r>
                    <w:rPr>
                      <w:rFonts w:hint="eastAsia" w:ascii="楷体" w:hAnsi="楷体" w:eastAsia="楷体"/>
                    </w:rPr>
                    <w:t>自我认识（一）——概要</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课堂讲授随堂练习小组讨论</w:t>
                  </w:r>
                </w:p>
              </w:tc>
              <w:tc>
                <w:tcPr>
                  <w:tcW w:w="1701" w:type="dxa"/>
                  <w:vAlign w:val="center"/>
                </w:tcPr>
                <w:p>
                  <w:pPr>
                    <w:rPr>
                      <w:rFonts w:ascii="楷体" w:hAnsi="楷体" w:eastAsia="楷体"/>
                    </w:rPr>
                  </w:pPr>
                  <w:r>
                    <w:rPr>
                      <w:rFonts w:hint="eastAsia" w:ascii="楷体" w:hAnsi="楷体" w:eastAsia="楷体"/>
                    </w:rPr>
                    <w:t>随堂作业：写出自己对自己的特点（包括优势、不足、兴趣、性格、价值观等）以及这些特点对自己的影响及相应的应对措施</w:t>
                  </w:r>
                </w:p>
              </w:tc>
              <w:tc>
                <w:tcPr>
                  <w:tcW w:w="2126" w:type="dxa"/>
                  <w:vAlign w:val="center"/>
                </w:tcPr>
                <w:p>
                  <w:pPr>
                    <w:rPr>
                      <w:rFonts w:ascii="楷体" w:hAnsi="楷体" w:eastAsia="楷体"/>
                    </w:rPr>
                  </w:pPr>
                  <w:r>
                    <w:rPr>
                      <w:rFonts w:hint="eastAsia" w:ascii="楷体" w:hAnsi="楷体" w:eastAsia="楷体"/>
                    </w:rPr>
                    <w:t>从不同的角度认识自己所具有的资源和不足、通过同伴的反馈进一步扩展和调整自我认识的广度和深度，并思考这些特点对自己成长的影响以及自己可以采取的应对措施；</w:t>
                  </w:r>
                </w:p>
              </w:tc>
              <w:tc>
                <w:tcPr>
                  <w:tcW w:w="1162" w:type="dxa"/>
                  <w:vAlign w:val="center"/>
                </w:tcPr>
                <w:p>
                  <w:pPr>
                    <w:jc w:val="center"/>
                    <w:rPr>
                      <w:rFonts w:ascii="楷体" w:hAnsi="楷体" w:eastAsia="楷体"/>
                    </w:rPr>
                  </w:pPr>
                  <w:r>
                    <w:rPr>
                      <w:rFonts w:hint="eastAsia" w:ascii="楷体" w:hAnsi="楷体" w:eastAsia="楷体"/>
                    </w:rPr>
                    <w:t>课堂练习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202" w:type="dxa"/>
                  <w:vAlign w:val="center"/>
                </w:tcPr>
                <w:p>
                  <w:pPr>
                    <w:rPr>
                      <w:rFonts w:ascii="楷体" w:hAnsi="楷体" w:eastAsia="楷体"/>
                    </w:rPr>
                  </w:pPr>
                  <w:r>
                    <w:rPr>
                      <w:rFonts w:hint="eastAsia" w:ascii="楷体" w:hAnsi="楷体" w:eastAsia="楷体"/>
                    </w:rPr>
                    <w:t>自我认识（二）——需要</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hint="eastAsia" w:ascii="楷体" w:hAnsi="楷体" w:eastAsia="楷体"/>
                    </w:rPr>
                  </w:pPr>
                  <w:r>
                    <w:rPr>
                      <w:rFonts w:hint="eastAsia" w:ascii="楷体" w:hAnsi="楷体" w:eastAsia="楷体"/>
                    </w:rPr>
                    <w:t>理论讲授</w:t>
                  </w:r>
                </w:p>
                <w:p>
                  <w:pPr>
                    <w:jc w:val="center"/>
                    <w:rPr>
                      <w:rFonts w:hint="eastAsia" w:ascii="楷体" w:hAnsi="楷体" w:eastAsia="楷体"/>
                      <w:lang w:eastAsia="zh-CN"/>
                    </w:rPr>
                  </w:pPr>
                  <w:r>
                    <w:rPr>
                      <w:rFonts w:hint="eastAsia" w:ascii="楷体" w:hAnsi="楷体" w:eastAsia="楷体"/>
                      <w:lang w:eastAsia="zh-CN"/>
                    </w:rPr>
                    <w:t>团体体验</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了解马斯洛的需要层次理论，并结合自己所处的环境、年龄，思考驱动自己行为的需要和动机；</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202" w:type="dxa"/>
                  <w:vAlign w:val="center"/>
                </w:tcPr>
                <w:p>
                  <w:pPr>
                    <w:rPr>
                      <w:rFonts w:ascii="楷体" w:hAnsi="楷体" w:eastAsia="楷体"/>
                    </w:rPr>
                  </w:pPr>
                  <w:r>
                    <w:rPr>
                      <w:rFonts w:hint="eastAsia" w:ascii="楷体" w:hAnsi="楷体" w:eastAsia="楷体"/>
                    </w:rPr>
                    <w:t>自我认识（三）——价值观探索</w:t>
                  </w:r>
                </w:p>
              </w:tc>
              <w:tc>
                <w:tcPr>
                  <w:tcW w:w="709" w:type="dxa"/>
                  <w:vAlign w:val="center"/>
                </w:tcPr>
                <w:p>
                  <w:pPr>
                    <w:jc w:val="center"/>
                    <w:rPr>
                      <w:rFonts w:ascii="楷体" w:hAnsi="楷体" w:eastAsia="楷体"/>
                    </w:rPr>
                  </w:pPr>
                  <w:r>
                    <w:rPr>
                      <w:rFonts w:hint="eastAsia" w:ascii="楷体" w:hAnsi="楷体" w:eastAsia="楷体"/>
                    </w:rPr>
                    <w:t>4</w:t>
                  </w:r>
                </w:p>
              </w:tc>
              <w:tc>
                <w:tcPr>
                  <w:tcW w:w="1134" w:type="dxa"/>
                  <w:vAlign w:val="center"/>
                </w:tcPr>
                <w:p>
                  <w:pPr>
                    <w:jc w:val="center"/>
                    <w:rPr>
                      <w:rFonts w:ascii="楷体" w:hAnsi="楷体" w:eastAsia="楷体" w:cs="Times New Roman"/>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通过课堂中的参与，体验自己在面对不同考验前的选择，觉察自己的价值观，思考不同的价值观对自己的生活带来的影响；</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202" w:type="dxa"/>
                  <w:vAlign w:val="center"/>
                </w:tcPr>
                <w:p>
                  <w:pPr>
                    <w:rPr>
                      <w:rFonts w:ascii="楷体" w:hAnsi="楷体" w:eastAsia="楷体"/>
                    </w:rPr>
                  </w:pPr>
                  <w:r>
                    <w:rPr>
                      <w:rFonts w:hint="eastAsia" w:ascii="楷体" w:hAnsi="楷体" w:eastAsia="楷体"/>
                    </w:rPr>
                    <w:t>人生规划</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rPr>
                      <w:rFonts w:ascii="楷体" w:hAnsi="楷体" w:eastAsia="楷体"/>
                    </w:rPr>
                  </w:pPr>
                  <w:r>
                    <w:rPr>
                      <w:rFonts w:hint="eastAsia" w:ascii="楷体" w:hAnsi="楷体" w:eastAsia="楷体"/>
                    </w:rPr>
                    <w:t>根据人生规划的要点，列出自己在不同时期的目标并给出具体的实现方法</w:t>
                  </w:r>
                </w:p>
              </w:tc>
              <w:tc>
                <w:tcPr>
                  <w:tcW w:w="2126" w:type="dxa"/>
                  <w:vAlign w:val="center"/>
                </w:tcPr>
                <w:p>
                  <w:pPr>
                    <w:rPr>
                      <w:rFonts w:ascii="楷体" w:hAnsi="楷体" w:eastAsia="楷体"/>
                    </w:rPr>
                  </w:pPr>
                  <w:r>
                    <w:rPr>
                      <w:rFonts w:hint="eastAsia" w:ascii="楷体" w:hAnsi="楷体" w:eastAsia="楷体"/>
                    </w:rPr>
                    <w:t>结合自己的能力、性格和需要，探索既立足自身现状又能激励自己前行的目标，并探讨实现这些目标的方法</w:t>
                  </w:r>
                </w:p>
              </w:tc>
              <w:tc>
                <w:tcPr>
                  <w:tcW w:w="1162" w:type="dxa"/>
                  <w:vAlign w:val="center"/>
                </w:tcPr>
                <w:p>
                  <w:pPr>
                    <w:jc w:val="center"/>
                    <w:rPr>
                      <w:rFonts w:ascii="楷体" w:hAnsi="楷体" w:eastAsia="楷体"/>
                    </w:rPr>
                  </w:pPr>
                  <w:r>
                    <w:rPr>
                      <w:rFonts w:hint="eastAsia" w:ascii="楷体" w:hAnsi="楷体" w:eastAsia="楷体"/>
                    </w:rPr>
                    <w:t>课堂练习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202" w:type="dxa"/>
                  <w:vAlign w:val="center"/>
                </w:tcPr>
                <w:p>
                  <w:pPr>
                    <w:rPr>
                      <w:rFonts w:ascii="楷体" w:hAnsi="楷体" w:eastAsia="楷体"/>
                    </w:rPr>
                  </w:pPr>
                  <w:r>
                    <w:rPr>
                      <w:rFonts w:hint="eastAsia" w:ascii="楷体" w:hAnsi="楷体" w:eastAsia="楷体"/>
                    </w:rPr>
                    <w:t>时间管理</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rPr>
                      <w:rFonts w:ascii="楷体" w:hAnsi="楷体" w:eastAsia="楷体"/>
                    </w:rPr>
                  </w:pPr>
                  <w:r>
                    <w:rPr>
                      <w:rFonts w:hint="eastAsia" w:ascii="楷体" w:hAnsi="楷体" w:eastAsia="楷体"/>
                    </w:rPr>
                    <w:t>针对自己近期的目标，制定一个完善的时间管理方案并记录接下来一个月的执行情况</w:t>
                  </w:r>
                </w:p>
              </w:tc>
              <w:tc>
                <w:tcPr>
                  <w:tcW w:w="2126" w:type="dxa"/>
                  <w:vAlign w:val="center"/>
                </w:tcPr>
                <w:p>
                  <w:pPr>
                    <w:rPr>
                      <w:rFonts w:ascii="楷体" w:hAnsi="楷体" w:eastAsia="楷体"/>
                    </w:rPr>
                  </w:pPr>
                  <w:r>
                    <w:rPr>
                      <w:rFonts w:hint="eastAsia" w:ascii="楷体" w:hAnsi="楷体" w:eastAsia="楷体"/>
                    </w:rPr>
                    <w:t>通过课堂体验认识到自己时间管理的特点、学会积极、健康的时间管理方法</w:t>
                  </w:r>
                </w:p>
              </w:tc>
              <w:tc>
                <w:tcPr>
                  <w:tcW w:w="1162" w:type="dxa"/>
                  <w:vAlign w:val="center"/>
                </w:tcPr>
                <w:p>
                  <w:pPr>
                    <w:jc w:val="center"/>
                    <w:rPr>
                      <w:rFonts w:ascii="楷体" w:hAnsi="楷体" w:eastAsia="楷体"/>
                    </w:rPr>
                  </w:pPr>
                  <w:r>
                    <w:rPr>
                      <w:rFonts w:hint="eastAsia" w:ascii="楷体" w:hAnsi="楷体" w:eastAsia="楷体"/>
                    </w:rPr>
                    <w:t>课堂练习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202" w:type="dxa"/>
                  <w:vAlign w:val="center"/>
                </w:tcPr>
                <w:p>
                  <w:pPr>
                    <w:rPr>
                      <w:rFonts w:ascii="楷体" w:hAnsi="楷体" w:eastAsia="楷体"/>
                    </w:rPr>
                  </w:pPr>
                  <w:r>
                    <w:rPr>
                      <w:rFonts w:hint="eastAsia" w:ascii="楷体" w:hAnsi="楷体" w:eastAsia="楷体"/>
                    </w:rPr>
                    <w:t>情绪管理</w:t>
                  </w:r>
                </w:p>
              </w:tc>
              <w:tc>
                <w:tcPr>
                  <w:tcW w:w="709" w:type="dxa"/>
                  <w:vAlign w:val="center"/>
                </w:tcPr>
                <w:p>
                  <w:pPr>
                    <w:jc w:val="center"/>
                    <w:rPr>
                      <w:rFonts w:ascii="楷体" w:hAnsi="楷体" w:eastAsia="楷体"/>
                    </w:rPr>
                  </w:pPr>
                  <w:r>
                    <w:rPr>
                      <w:rFonts w:hint="eastAsia" w:ascii="楷体" w:hAnsi="楷体" w:eastAsia="楷体"/>
                    </w:rPr>
                    <w:t>4</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在体验中了解自己日常情绪处理的特点，学会管理自己情绪和理解、宽容他人情绪的方法</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02" w:type="dxa"/>
                  <w:vAlign w:val="center"/>
                </w:tcPr>
                <w:p>
                  <w:pPr>
                    <w:rPr>
                      <w:rFonts w:ascii="楷体" w:hAnsi="楷体" w:eastAsia="楷体"/>
                    </w:rPr>
                  </w:pPr>
                  <w:r>
                    <w:rPr>
                      <w:rFonts w:hint="eastAsia" w:ascii="楷体" w:hAnsi="楷体" w:eastAsia="楷体"/>
                    </w:rPr>
                    <w:t>倾听技术</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pPr>
                  <w:r>
                    <w:rPr>
                      <w:rFonts w:hint="eastAsia"/>
                    </w:rPr>
                    <w:t>无</w:t>
                  </w:r>
                </w:p>
              </w:tc>
              <w:tc>
                <w:tcPr>
                  <w:tcW w:w="2126" w:type="dxa"/>
                  <w:vAlign w:val="center"/>
                </w:tcPr>
                <w:p>
                  <w:pPr>
                    <w:rPr>
                      <w:rFonts w:ascii="楷体" w:hAnsi="楷体" w:eastAsia="楷体"/>
                    </w:rPr>
                  </w:pPr>
                  <w:r>
                    <w:rPr>
                      <w:rFonts w:hint="eastAsia" w:ascii="楷体" w:hAnsi="楷体" w:eastAsia="楷体"/>
                    </w:rPr>
                    <w:t>通过课堂体验，加深对倾听技巧的理解，学习良好的倾听技术</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02" w:type="dxa"/>
                  <w:vAlign w:val="center"/>
                </w:tcPr>
                <w:p>
                  <w:pPr>
                    <w:rPr>
                      <w:rFonts w:ascii="楷体" w:hAnsi="楷体" w:eastAsia="楷体"/>
                    </w:rPr>
                  </w:pPr>
                  <w:r>
                    <w:rPr>
                      <w:rFonts w:hint="eastAsia" w:ascii="楷体" w:hAnsi="楷体" w:eastAsia="楷体"/>
                    </w:rPr>
                    <w:t>沟通技巧</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pPr>
                  <w:r>
                    <w:rPr>
                      <w:rFonts w:hint="eastAsia"/>
                    </w:rPr>
                    <w:t>无</w:t>
                  </w:r>
                </w:p>
              </w:tc>
              <w:tc>
                <w:tcPr>
                  <w:tcW w:w="2126" w:type="dxa"/>
                  <w:vAlign w:val="center"/>
                </w:tcPr>
                <w:p>
                  <w:pPr>
                    <w:rPr>
                      <w:rFonts w:ascii="楷体" w:hAnsi="楷体" w:eastAsia="楷体"/>
                    </w:rPr>
                  </w:pPr>
                  <w:r>
                    <w:rPr>
                      <w:rFonts w:hint="eastAsia" w:ascii="楷体" w:hAnsi="楷体" w:eastAsia="楷体"/>
                    </w:rPr>
                    <w:t>在体验中学习沟通中的信息交流方式，了解良好沟通的技巧，同时学会理解对方的立场</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02" w:type="dxa"/>
                  <w:vAlign w:val="center"/>
                </w:tcPr>
                <w:p>
                  <w:pPr>
                    <w:rPr>
                      <w:rFonts w:ascii="楷体" w:hAnsi="楷体" w:eastAsia="楷体"/>
                    </w:rPr>
                  </w:pPr>
                  <w:r>
                    <w:rPr>
                      <w:rFonts w:hint="eastAsia" w:ascii="楷体" w:hAnsi="楷体" w:eastAsia="楷体"/>
                    </w:rPr>
                    <w:t>亲密关系</w:t>
                  </w:r>
                </w:p>
              </w:tc>
              <w:tc>
                <w:tcPr>
                  <w:tcW w:w="709" w:type="dxa"/>
                  <w:vAlign w:val="center"/>
                </w:tcPr>
                <w:p>
                  <w:pPr>
                    <w:jc w:val="center"/>
                    <w:rPr>
                      <w:rFonts w:ascii="楷体" w:hAnsi="楷体" w:eastAsia="楷体"/>
                    </w:rPr>
                  </w:pPr>
                  <w:r>
                    <w:rPr>
                      <w:rFonts w:hint="eastAsia" w:ascii="楷体" w:hAnsi="楷体" w:eastAsia="楷体"/>
                    </w:rPr>
                    <w:t>3</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在讨论中明白不同角色对同一行为、语言的不同理解，学会在恋爱中站在不同的角度看问题，学会面对恋爱中的挑战</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202" w:type="dxa"/>
                  <w:tcBorders>
                    <w:bottom w:val="single" w:color="auto" w:sz="4" w:space="0"/>
                  </w:tcBorders>
                  <w:vAlign w:val="center"/>
                </w:tcPr>
                <w:p>
                  <w:pPr>
                    <w:rPr>
                      <w:rFonts w:ascii="楷体" w:hAnsi="楷体" w:eastAsia="楷体"/>
                    </w:rPr>
                  </w:pPr>
                  <w:r>
                    <w:rPr>
                      <w:rFonts w:hint="eastAsia" w:ascii="楷体" w:hAnsi="楷体" w:eastAsia="楷体"/>
                    </w:rPr>
                    <w:t>心理资源</w:t>
                  </w:r>
                </w:p>
              </w:tc>
              <w:tc>
                <w:tcPr>
                  <w:tcW w:w="709" w:type="dxa"/>
                  <w:tcBorders>
                    <w:bottom w:val="single" w:color="auto" w:sz="4" w:space="0"/>
                  </w:tcBorders>
                  <w:vAlign w:val="center"/>
                </w:tcPr>
                <w:p>
                  <w:pPr>
                    <w:jc w:val="center"/>
                    <w:rPr>
                      <w:rFonts w:ascii="楷体" w:hAnsi="楷体" w:eastAsia="楷体"/>
                    </w:rPr>
                  </w:pPr>
                  <w:r>
                    <w:rPr>
                      <w:rFonts w:hint="eastAsia" w:ascii="楷体" w:hAnsi="楷体" w:eastAsia="楷体"/>
                    </w:rPr>
                    <w:t>1</w:t>
                  </w:r>
                </w:p>
              </w:tc>
              <w:tc>
                <w:tcPr>
                  <w:tcW w:w="1134" w:type="dxa"/>
                  <w:tcBorders>
                    <w:bottom w:val="single" w:color="auto" w:sz="4" w:space="0"/>
                  </w:tcBorders>
                  <w:vAlign w:val="center"/>
                </w:tcPr>
                <w:p>
                  <w:pPr>
                    <w:jc w:val="center"/>
                    <w:rPr>
                      <w:rFonts w:ascii="楷体" w:hAnsi="楷体" w:eastAsia="楷体"/>
                    </w:rPr>
                  </w:pPr>
                  <w:r>
                    <w:rPr>
                      <w:rFonts w:hint="eastAsia" w:ascii="楷体" w:hAnsi="楷体" w:eastAsia="楷体"/>
                    </w:rPr>
                    <w:t>理论讲授</w:t>
                  </w:r>
                </w:p>
              </w:tc>
              <w:tc>
                <w:tcPr>
                  <w:tcW w:w="1701" w:type="dxa"/>
                  <w:tcBorders>
                    <w:bottom w:val="single" w:color="auto" w:sz="4" w:space="0"/>
                  </w:tcBorders>
                  <w:vAlign w:val="center"/>
                </w:tcPr>
                <w:p>
                  <w:pPr>
                    <w:jc w:val="center"/>
                    <w:rPr>
                      <w:rFonts w:ascii="楷体" w:hAnsi="楷体" w:eastAsia="楷体"/>
                    </w:rPr>
                  </w:pPr>
                  <w:r>
                    <w:rPr>
                      <w:rFonts w:hint="eastAsia" w:ascii="楷体" w:hAnsi="楷体" w:eastAsia="楷体"/>
                    </w:rPr>
                    <w:t>无</w:t>
                  </w:r>
                </w:p>
              </w:tc>
              <w:tc>
                <w:tcPr>
                  <w:tcW w:w="2126" w:type="dxa"/>
                  <w:tcBorders>
                    <w:bottom w:val="single" w:color="auto" w:sz="4" w:space="0"/>
                  </w:tcBorders>
                  <w:vAlign w:val="center"/>
                </w:tcPr>
                <w:p>
                  <w:pPr>
                    <w:rPr>
                      <w:rFonts w:ascii="楷体" w:hAnsi="楷体" w:eastAsia="楷体"/>
                    </w:rPr>
                  </w:pPr>
                  <w:r>
                    <w:rPr>
                      <w:rFonts w:hint="eastAsia" w:ascii="楷体" w:hAnsi="楷体" w:eastAsia="楷体"/>
                    </w:rPr>
                    <w:t>学会从不同的角度理解问题，了解基础的心理咨询的理论和技术，学习简单的心理调节技术，掌握常用的寻求心理资源的方法</w:t>
                  </w:r>
                </w:p>
              </w:tc>
              <w:tc>
                <w:tcPr>
                  <w:tcW w:w="1162" w:type="dxa"/>
                  <w:tcBorders>
                    <w:bottom w:val="single" w:color="auto" w:sz="4" w:space="0"/>
                  </w:tcBorders>
                  <w:vAlign w:val="center"/>
                </w:tcPr>
                <w:p>
                  <w:pPr>
                    <w:jc w:val="center"/>
                    <w:rPr>
                      <w:rFonts w:ascii="楷体" w:hAnsi="楷体" w:eastAsia="楷体"/>
                    </w:rPr>
                  </w:pPr>
                  <w:r>
                    <w:rPr>
                      <w:rFonts w:hint="eastAsia" w:ascii="楷体" w:hAnsi="楷体" w:eastAsia="楷体"/>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202" w:type="dxa"/>
                  <w:tcBorders>
                    <w:bottom w:val="nil"/>
                  </w:tcBorders>
                  <w:vAlign w:val="center"/>
                </w:tcPr>
                <w:p>
                  <w:pPr>
                    <w:rPr>
                      <w:rFonts w:ascii="楷体" w:hAnsi="楷体" w:eastAsia="楷体"/>
                    </w:rPr>
                  </w:pPr>
                  <w:r>
                    <w:rPr>
                      <w:rFonts w:hint="eastAsia" w:ascii="楷体" w:hAnsi="楷体" w:eastAsia="楷体"/>
                    </w:rPr>
                    <w:t>考查、结课</w:t>
                  </w:r>
                </w:p>
              </w:tc>
              <w:tc>
                <w:tcPr>
                  <w:tcW w:w="709" w:type="dxa"/>
                  <w:tcBorders>
                    <w:bottom w:val="nil"/>
                  </w:tcBorders>
                  <w:vAlign w:val="center"/>
                </w:tcPr>
                <w:p>
                  <w:pPr>
                    <w:jc w:val="center"/>
                    <w:rPr>
                      <w:rFonts w:ascii="楷体" w:hAnsi="楷体" w:eastAsia="楷体"/>
                    </w:rPr>
                  </w:pPr>
                  <w:r>
                    <w:rPr>
                      <w:rFonts w:hint="eastAsia" w:ascii="楷体" w:hAnsi="楷体" w:eastAsia="楷体"/>
                    </w:rPr>
                    <w:t>4</w:t>
                  </w:r>
                </w:p>
              </w:tc>
              <w:tc>
                <w:tcPr>
                  <w:tcW w:w="1134" w:type="dxa"/>
                  <w:tcBorders>
                    <w:bottom w:val="nil"/>
                  </w:tcBorders>
                  <w:vAlign w:val="center"/>
                </w:tcPr>
                <w:p>
                  <w:pPr>
                    <w:jc w:val="center"/>
                    <w:rPr>
                      <w:rFonts w:ascii="楷体" w:hAnsi="楷体" w:eastAsia="楷体"/>
                    </w:rPr>
                  </w:pPr>
                  <w:r>
                    <w:rPr>
                      <w:rFonts w:hint="eastAsia" w:ascii="楷体" w:hAnsi="楷体" w:eastAsia="楷体"/>
                    </w:rPr>
                    <w:t>随堂展示</w:t>
                  </w:r>
                </w:p>
              </w:tc>
              <w:tc>
                <w:tcPr>
                  <w:tcW w:w="1701" w:type="dxa"/>
                  <w:tcBorders>
                    <w:bottom w:val="nil"/>
                  </w:tcBorders>
                  <w:vAlign w:val="center"/>
                </w:tcPr>
                <w:p>
                  <w:pPr>
                    <w:jc w:val="center"/>
                    <w:rPr>
                      <w:rFonts w:ascii="楷体" w:hAnsi="楷体" w:eastAsia="楷体"/>
                    </w:rPr>
                  </w:pPr>
                  <w:r>
                    <w:rPr>
                      <w:rFonts w:hint="eastAsia" w:ascii="楷体" w:hAnsi="楷体" w:eastAsia="楷体"/>
                    </w:rPr>
                    <w:t>无</w:t>
                  </w:r>
                </w:p>
              </w:tc>
              <w:tc>
                <w:tcPr>
                  <w:tcW w:w="2126" w:type="dxa"/>
                  <w:tcBorders>
                    <w:bottom w:val="nil"/>
                  </w:tcBorders>
                  <w:vAlign w:val="center"/>
                </w:tcPr>
                <w:p>
                  <w:pPr>
                    <w:rPr>
                      <w:rFonts w:ascii="楷体" w:hAnsi="楷体" w:eastAsia="楷体"/>
                    </w:rPr>
                  </w:pPr>
                  <w:r>
                    <w:rPr>
                      <w:rFonts w:hint="eastAsia" w:ascii="楷体" w:hAnsi="楷体" w:eastAsia="楷体"/>
                    </w:rPr>
                    <w:t>通过PPT、情景剧、演讲等方式展示学习成果</w:t>
                  </w:r>
                </w:p>
              </w:tc>
              <w:tc>
                <w:tcPr>
                  <w:tcW w:w="1162" w:type="dxa"/>
                  <w:tcBorders>
                    <w:bottom w:val="nil"/>
                  </w:tcBorders>
                  <w:vAlign w:val="center"/>
                </w:tcPr>
                <w:p>
                  <w:pPr>
                    <w:jc w:val="center"/>
                    <w:rPr>
                      <w:rFonts w:ascii="楷体" w:hAnsi="楷体" w:eastAsia="楷体"/>
                    </w:rPr>
                  </w:pPr>
                  <w:r>
                    <w:rPr>
                      <w:rFonts w:hint="eastAsia" w:ascii="楷体" w:hAnsi="楷体" w:eastAsia="楷体"/>
                    </w:rPr>
                    <w:t>随堂考查</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673" w:type="dxa"/>
            <w:vAlign w:val="center"/>
          </w:tcPr>
          <w:p>
            <w:pPr>
              <w:jc w:val="center"/>
            </w:pPr>
            <w:r>
              <w:rPr>
                <w:rFonts w:hint="eastAsia"/>
                <w:color w:val="C00000"/>
              </w:rPr>
              <w:t>*</w:t>
            </w:r>
            <w:r>
              <w:rPr>
                <w:rFonts w:hint="eastAsia"/>
              </w:rPr>
              <w:t>考核方式 (Grading)</w:t>
            </w:r>
          </w:p>
        </w:tc>
        <w:tc>
          <w:tcPr>
            <w:tcW w:w="8251" w:type="dxa"/>
            <w:gridSpan w:val="7"/>
            <w:vAlign w:val="center"/>
          </w:tcPr>
          <w:p>
            <w:pPr>
              <w:jc w:val="left"/>
              <w:rPr>
                <w:rFonts w:ascii="楷体" w:hAnsi="楷体" w:eastAsia="楷体"/>
              </w:rPr>
            </w:pPr>
            <w:r>
              <w:rPr>
                <w:rFonts w:hint="eastAsia" w:ascii="楷体" w:hAnsi="楷体" w:eastAsia="楷体"/>
              </w:rPr>
              <w:t>课堂考察（</w:t>
            </w:r>
            <w:r>
              <w:rPr>
                <w:rFonts w:ascii="楷体" w:hAnsi="楷体" w:eastAsia="楷体"/>
              </w:rPr>
              <w:t>30</w:t>
            </w:r>
            <w:r>
              <w:rPr>
                <w:rFonts w:hint="eastAsia" w:ascii="楷体" w:hAnsi="楷体" w:eastAsia="楷体"/>
              </w:rPr>
              <w:t>％）＋平时作业（</w:t>
            </w:r>
            <w:r>
              <w:rPr>
                <w:rFonts w:ascii="楷体" w:hAnsi="楷体" w:eastAsia="楷体"/>
              </w:rPr>
              <w:t>30</w:t>
            </w:r>
            <w:r>
              <w:rPr>
                <w:rFonts w:hint="eastAsia" w:ascii="楷体" w:hAnsi="楷体" w:eastAsia="楷体"/>
              </w:rPr>
              <w:t>％）＋期末考试（</w:t>
            </w:r>
            <w:r>
              <w:rPr>
                <w:rFonts w:ascii="楷体" w:hAnsi="楷体" w:eastAsia="楷体"/>
              </w:rPr>
              <w:t>40</w:t>
            </w:r>
            <w:r>
              <w:rPr>
                <w:rFonts w:hint="eastAsia" w:ascii="楷体" w:hAnsi="楷体" w:eastAsia="楷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673" w:type="dxa"/>
            <w:vAlign w:val="center"/>
          </w:tcPr>
          <w:p>
            <w:pPr>
              <w:jc w:val="center"/>
            </w:pPr>
            <w:r>
              <w:rPr>
                <w:rFonts w:hint="eastAsia"/>
                <w:color w:val="C00000"/>
              </w:rPr>
              <w:t>*</w:t>
            </w:r>
            <w:r>
              <w:rPr>
                <w:rFonts w:hint="eastAsia"/>
              </w:rPr>
              <w:t>教材或参考资料(Textbooks &amp; Other Materials)</w:t>
            </w:r>
          </w:p>
        </w:tc>
        <w:tc>
          <w:tcPr>
            <w:tcW w:w="8251" w:type="dxa"/>
            <w:gridSpan w:val="7"/>
            <w:vAlign w:val="center"/>
          </w:tcPr>
          <w:p>
            <w:pPr>
              <w:adjustRightInd w:val="0"/>
              <w:snapToGrid w:val="0"/>
              <w:jc w:val="left"/>
              <w:rPr>
                <w:rFonts w:ascii="楷体" w:hAnsi="楷体" w:eastAsia="楷体"/>
                <w:szCs w:val="21"/>
              </w:rPr>
            </w:pPr>
            <w:r>
              <w:rPr>
                <w:rFonts w:hint="eastAsia" w:ascii="楷体" w:hAnsi="楷体" w:eastAsia="楷体"/>
                <w:szCs w:val="21"/>
              </w:rPr>
              <w:t>《心理自助医生》，王奉德著，中国档案出版社，2002年1月第1版，ISBN:9787801661678</w:t>
            </w:r>
          </w:p>
          <w:p>
            <w:pPr>
              <w:adjustRightInd w:val="0"/>
              <w:snapToGrid w:val="0"/>
              <w:jc w:val="left"/>
              <w:rPr>
                <w:rFonts w:ascii="楷体" w:hAnsi="楷体" w:eastAsia="楷体"/>
                <w:szCs w:val="21"/>
              </w:rPr>
            </w:pPr>
            <w:r>
              <w:rPr>
                <w:rFonts w:hint="eastAsia" w:ascii="楷体" w:hAnsi="楷体" w:eastAsia="楷体"/>
                <w:szCs w:val="21"/>
              </w:rPr>
              <w:t>《积极心理学》，卡尔著，中国轻工业出版社，2013年9月第2版，ISBN:9787501992539</w:t>
            </w:r>
          </w:p>
          <w:p>
            <w:pPr>
              <w:adjustRightInd w:val="0"/>
              <w:snapToGrid w:val="0"/>
              <w:jc w:val="left"/>
              <w:rPr>
                <w:rFonts w:ascii="楷体" w:hAnsi="楷体" w:eastAsia="楷体"/>
                <w:szCs w:val="21"/>
              </w:rPr>
            </w:pPr>
            <w:r>
              <w:rPr>
                <w:rFonts w:hint="eastAsia" w:ascii="楷体" w:hAnsi="楷体" w:eastAsia="楷体"/>
                <w:szCs w:val="21"/>
              </w:rPr>
              <w:t>《人格心理学》，柏格著，中国轻工业出版社，2010年3月第7版，ISBN:9787501997473</w:t>
            </w:r>
          </w:p>
          <w:p>
            <w:pPr>
              <w:adjustRightInd w:val="0"/>
              <w:snapToGrid w:val="0"/>
              <w:jc w:val="left"/>
              <w:rPr>
                <w:rFonts w:ascii="楷体" w:hAnsi="楷体" w:eastAsia="楷体"/>
                <w:szCs w:val="21"/>
              </w:rPr>
            </w:pPr>
            <w:r>
              <w:rPr>
                <w:rFonts w:hint="eastAsia" w:ascii="楷体" w:hAnsi="楷体" w:eastAsia="楷体"/>
                <w:szCs w:val="21"/>
              </w:rPr>
              <w:t>《时间管理－如何充分利用你的24小时》，</w:t>
            </w:r>
            <w:bookmarkStart w:id="0" w:name="P_zz"/>
            <w:r>
              <w:rPr>
                <w:rFonts w:ascii="楷体" w:hAnsi="楷体" w:eastAsia="楷体"/>
                <w:szCs w:val="21"/>
              </w:rPr>
              <w:fldChar w:fldCharType="begin"/>
            </w:r>
            <w:r>
              <w:rPr>
                <w:rFonts w:ascii="楷体" w:hAnsi="楷体" w:eastAsia="楷体"/>
                <w:szCs w:val="21"/>
              </w:rPr>
              <w:instrText xml:space="preserve"> HYPERLINK "http://search.dangdang.com/?key2=吉姆·兰德尔&amp;medium=01&amp;category_path=01.00.00.00.00.00" \o "（美）吉姆·兰德尔（Jim Randel） 著，舒建广　译" </w:instrText>
            </w:r>
            <w:r>
              <w:rPr>
                <w:rFonts w:ascii="楷体" w:hAnsi="楷体" w:eastAsia="楷体"/>
                <w:szCs w:val="21"/>
              </w:rPr>
              <w:fldChar w:fldCharType="separate"/>
            </w:r>
            <w:r>
              <w:rPr>
                <w:rStyle w:val="7"/>
                <w:rFonts w:hint="eastAsia" w:ascii="楷体" w:hAnsi="楷体" w:eastAsia="楷体"/>
                <w:color w:val="auto"/>
                <w:szCs w:val="21"/>
              </w:rPr>
              <w:t>吉姆·兰德尔</w:t>
            </w:r>
            <w:r>
              <w:rPr>
                <w:rFonts w:ascii="楷体" w:hAnsi="楷体" w:eastAsia="楷体"/>
                <w:szCs w:val="21"/>
              </w:rPr>
              <w:fldChar w:fldCharType="end"/>
            </w:r>
            <w:bookmarkEnd w:id="0"/>
            <w:r>
              <w:rPr>
                <w:rFonts w:hint="eastAsia" w:ascii="楷体" w:hAnsi="楷体" w:eastAsia="楷体"/>
                <w:szCs w:val="21"/>
              </w:rPr>
              <w:t>著，上海交通大学出版社，2012年1月第1版，ISBN:9787313076571</w:t>
            </w:r>
          </w:p>
          <w:p>
            <w:pPr>
              <w:adjustRightInd w:val="0"/>
              <w:snapToGrid w:val="0"/>
              <w:jc w:val="left"/>
              <w:rPr>
                <w:rFonts w:hint="eastAsia" w:ascii="楷体" w:hAnsi="楷体" w:eastAsia="楷体"/>
                <w:szCs w:val="21"/>
              </w:rPr>
            </w:pPr>
            <w:r>
              <w:rPr>
                <w:rFonts w:hint="eastAsia" w:ascii="楷体" w:hAnsi="楷体" w:eastAsia="楷体"/>
                <w:szCs w:val="21"/>
              </w:rPr>
              <w:t>《心理咨询与心理治疗》钱铭怡编著，北京大学出版社，1994年5月第1版，ISBN:9787301024270</w:t>
            </w:r>
          </w:p>
          <w:p>
            <w:pPr>
              <w:adjustRightInd w:val="0"/>
              <w:snapToGrid w:val="0"/>
              <w:jc w:val="left"/>
              <w:rPr>
                <w:rFonts w:hint="eastAsia" w:ascii="楷体" w:hAnsi="楷体" w:eastAsia="楷体"/>
                <w:szCs w:val="21"/>
                <w:lang w:eastAsia="zh-CN"/>
              </w:rPr>
            </w:pPr>
            <w:r>
              <w:rPr>
                <w:rFonts w:hint="eastAsia" w:ascii="楷体" w:hAnsi="楷体" w:eastAsia="楷体"/>
                <w:szCs w:val="21"/>
                <w:lang w:eastAsia="zh-CN"/>
              </w:rPr>
              <w:t>《精力管理》〔美〕吉姆</w:t>
            </w:r>
            <w:r>
              <w:rPr>
                <w:rFonts w:hint="eastAsia" w:ascii="楷体" w:hAnsi="楷体" w:eastAsia="楷体" w:cs="楷体"/>
                <w:szCs w:val="21"/>
                <w:lang w:eastAsia="zh-CN"/>
              </w:rPr>
              <w:t>·洛尔</w:t>
            </w:r>
            <w:r>
              <w:rPr>
                <w:rFonts w:hint="eastAsia" w:ascii="楷体" w:hAnsi="楷体" w:eastAsia="楷体" w:cs="楷体"/>
                <w:szCs w:val="21"/>
                <w:lang w:val="en-US" w:eastAsia="zh-CN"/>
              </w:rPr>
              <w:t xml:space="preserve"> 托尼·施瓦茨</w:t>
            </w:r>
            <w:r>
              <w:rPr>
                <w:rFonts w:hint="eastAsia" w:ascii="楷体" w:hAnsi="楷体" w:eastAsia="楷体" w:cs="楷体"/>
                <w:szCs w:val="21"/>
                <w:lang w:eastAsia="zh-CN"/>
              </w:rPr>
              <w:t>著，中国青年出版社，</w:t>
            </w:r>
            <w:r>
              <w:rPr>
                <w:rFonts w:hint="eastAsia" w:ascii="楷体" w:hAnsi="楷体" w:eastAsia="楷体" w:cs="楷体"/>
                <w:szCs w:val="21"/>
                <w:lang w:val="en-US" w:eastAsia="zh-CN"/>
              </w:rPr>
              <w:t>2015年8月第1版，ISBN：9787515333564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73" w:type="dxa"/>
            <w:vAlign w:val="center"/>
          </w:tcPr>
          <w:p>
            <w:pPr>
              <w:jc w:val="center"/>
            </w:pPr>
            <w:r>
              <w:rPr>
                <w:rFonts w:hint="eastAsia"/>
              </w:rPr>
              <w:t>其它（More）</w:t>
            </w:r>
          </w:p>
        </w:tc>
        <w:tc>
          <w:tcPr>
            <w:tcW w:w="8251"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73" w:type="dxa"/>
            <w:vAlign w:val="center"/>
          </w:tcPr>
          <w:p>
            <w:pPr>
              <w:jc w:val="center"/>
            </w:pPr>
            <w:r>
              <w:rPr>
                <w:rFonts w:hint="eastAsia"/>
              </w:rPr>
              <w:t>备注（Notes）</w:t>
            </w:r>
          </w:p>
        </w:tc>
        <w:tc>
          <w:tcPr>
            <w:tcW w:w="8251"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rFonts w:hint="eastAsia"/>
        <w:lang w:val="en-US" w:eastAsia="zh-CN"/>
      </w:rPr>
      <w:t>2019夏季学期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378F"/>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56B1"/>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2150"/>
    <w:rsid w:val="007252D6"/>
    <w:rsid w:val="0074127F"/>
    <w:rsid w:val="00784A11"/>
    <w:rsid w:val="00795F2D"/>
    <w:rsid w:val="007A19E1"/>
    <w:rsid w:val="007B376D"/>
    <w:rsid w:val="007D4099"/>
    <w:rsid w:val="007E4B77"/>
    <w:rsid w:val="008158EA"/>
    <w:rsid w:val="00823ACC"/>
    <w:rsid w:val="0082596B"/>
    <w:rsid w:val="00825C1B"/>
    <w:rsid w:val="00836498"/>
    <w:rsid w:val="00857453"/>
    <w:rsid w:val="00890F38"/>
    <w:rsid w:val="008954B7"/>
    <w:rsid w:val="008A7203"/>
    <w:rsid w:val="008C6E46"/>
    <w:rsid w:val="008F7DAE"/>
    <w:rsid w:val="0090035B"/>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3B6B"/>
    <w:rsid w:val="00AC5156"/>
    <w:rsid w:val="00AD0114"/>
    <w:rsid w:val="00AD3765"/>
    <w:rsid w:val="00AD7DBD"/>
    <w:rsid w:val="00AD7E02"/>
    <w:rsid w:val="00AE06A5"/>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61D29"/>
    <w:rsid w:val="00C73038"/>
    <w:rsid w:val="00C85828"/>
    <w:rsid w:val="00CB685A"/>
    <w:rsid w:val="00CF02E2"/>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03022"/>
    <w:rsid w:val="00F262EB"/>
    <w:rsid w:val="00F46C0A"/>
    <w:rsid w:val="00F67475"/>
    <w:rsid w:val="00F746B7"/>
    <w:rsid w:val="00FC1AA0"/>
    <w:rsid w:val="00FC687D"/>
    <w:rsid w:val="00FE20EB"/>
    <w:rsid w:val="00FE3349"/>
    <w:rsid w:val="00FE4D40"/>
    <w:rsid w:val="00FF22DC"/>
    <w:rsid w:val="07B96600"/>
    <w:rsid w:val="40567CB1"/>
    <w:rsid w:val="67E15D0B"/>
    <w:rsid w:val="703366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554</Words>
  <Characters>3159</Characters>
  <Lines>26</Lines>
  <Paragraphs>7</Paragraphs>
  <TotalTime>3</TotalTime>
  <ScaleCrop>false</ScaleCrop>
  <LinksUpToDate>false</LinksUpToDate>
  <CharactersWithSpaces>3706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2016-11-29T08:36:00Z</dcterms:created>
  <dc:creator>xiqiang yang</dc:creator>
  <cp:lastModifiedBy>user</cp:lastModifiedBy>
  <cp:lastPrinted>2017-11-27T06:35:00Z</cp:lastPrinted>
  <dcterms:modified xsi:type="dcterms:W3CDTF">2018-11-29T06:19:06Z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