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ascii="Calibri" w:hAnsi="Calibri" w:eastAsia="宋体" w:cs="Times New Roman"/>
          <w:b/>
          <w:bCs/>
          <w:sz w:val="32"/>
          <w:szCs w:val="32"/>
        </w:rPr>
        <w:t>功能氧化物材料</w:t>
      </w:r>
      <w:bookmarkStart w:id="0" w:name="_GoBack"/>
      <w:bookmarkEnd w:id="0"/>
      <w:r>
        <w:rPr>
          <w:rFonts w:hint="eastAsia" w:ascii="Calibri" w:hAnsi="Calibri" w:eastAsia="宋体" w:cs="Times New Roman"/>
          <w:b/>
          <w:bCs/>
          <w:sz w:val="32"/>
          <w:szCs w:val="32"/>
        </w:rPr>
        <w:t>制备及晶体生长科学</w:t>
      </w:r>
      <w:r>
        <w:rPr>
          <w:b/>
          <w:sz w:val="32"/>
          <w:szCs w:val="32"/>
        </w:rPr>
        <w:t>课程教学大纲</w:t>
      </w:r>
    </w:p>
    <w:tbl>
      <w:tblPr>
        <w:tblStyle w:val="10"/>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rFonts w:ascii="Times New Roman" w:hAnsi="Times New Roman" w:cs="Times New Roman"/>
                <w:w w:val="90"/>
                <w:szCs w:val="21"/>
              </w:rPr>
            </w:pPr>
            <w:r>
              <w:rPr>
                <w:rFonts w:ascii="Times New Roman" w:hAnsi="Times New Roman" w:cs="Times New Roman"/>
                <w:color w:val="000000"/>
                <w:szCs w:val="21"/>
              </w:rPr>
              <w:t>SP</w:t>
            </w:r>
            <w:r>
              <w:rPr>
                <w:rFonts w:hint="eastAsia" w:ascii="Times New Roman" w:hAnsi="Times New Roman" w:cs="Times New Roman"/>
                <w:color w:val="000000"/>
                <w:szCs w:val="21"/>
              </w:rPr>
              <w:t>140</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rPr>
                <w:rFonts w:ascii="Times New Roman" w:hAnsi="Times New Roman" w:cs="Times New Roman"/>
              </w:rPr>
            </w:pPr>
            <w:r>
              <w:rPr>
                <w:rFonts w:ascii="Times New Roman" w:hAnsi="Times New Roman" w:cs="Times New Roman"/>
              </w:rPr>
              <w:t>33</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rFonts w:ascii="Times New Roman" w:hAnsi="Times New Roman" w:cs="Times New Roman"/>
              </w:rPr>
            </w:pPr>
            <w:r>
              <w:rPr>
                <w:rFonts w:ascii="Times New Roman" w:hAnsi="Times New Roman"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r>
              <w:rPr>
                <w:rFonts w:hint="eastAsia"/>
                <w:color w:val="FF0000"/>
              </w:rPr>
              <w:t>*</w:t>
            </w:r>
            <w:r>
              <w:t>课程名称</w:t>
            </w:r>
          </w:p>
          <w:p>
            <w:r>
              <w:t>（</w:t>
            </w:r>
            <w:r>
              <w:rPr>
                <w:rFonts w:hint="eastAsia"/>
              </w:rPr>
              <w:t>Course Name）</w:t>
            </w:r>
          </w:p>
        </w:tc>
        <w:tc>
          <w:tcPr>
            <w:tcW w:w="7518" w:type="dxa"/>
            <w:gridSpan w:val="7"/>
          </w:tcPr>
          <w:p>
            <w:pPr>
              <w:jc w:val="center"/>
              <w:rPr>
                <w:color w:val="00B050"/>
              </w:rPr>
            </w:pPr>
            <w:r>
              <w:rPr>
                <w:rFonts w:hint="eastAsia" w:ascii="Calibri" w:hAnsi="Calibri" w:eastAsia="宋体" w:cs="Times New Roman"/>
                <w:szCs w:val="21"/>
              </w:rPr>
              <w:t>功能氧化物材料制备及晶体生长科学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tcPr>
          <w:p>
            <w:pPr>
              <w:jc w:val="center"/>
              <w:rPr>
                <w:color w:val="00B050"/>
              </w:rPr>
            </w:pPr>
            <w:r>
              <w:rPr>
                <w:rFonts w:ascii="Calibri" w:hAnsi="Calibri" w:eastAsia="宋体" w:cs="Times New Roman"/>
              </w:rPr>
              <w:t>P</w:t>
            </w:r>
            <w:r>
              <w:rPr>
                <w:rFonts w:hint="eastAsia" w:ascii="Calibri" w:hAnsi="Calibri" w:eastAsia="宋体" w:cs="Times New Roman"/>
              </w:rPr>
              <w:t>reparation of functional oxide materials and crystal growth science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color w:val="00B050"/>
                <w:szCs w:val="21"/>
              </w:rPr>
            </w:pPr>
            <w:r>
              <w:rPr>
                <w:rFonts w:ascii="??" w:hAnsi="??" w:eastAsia="宋体" w:cs="宋体"/>
                <w:kern w:val="0"/>
                <w:szCs w:val="21"/>
              </w:rPr>
              <w:t>理论教学类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（Audience）</w:t>
            </w:r>
          </w:p>
        </w:tc>
        <w:tc>
          <w:tcPr>
            <w:tcW w:w="7518" w:type="dxa"/>
            <w:gridSpan w:val="7"/>
            <w:vAlign w:val="center"/>
          </w:tcPr>
          <w:p>
            <w:pPr>
              <w:jc w:val="center"/>
              <w:rPr>
                <w:szCs w:val="21"/>
              </w:rPr>
            </w:pPr>
            <w:r>
              <w:rPr>
                <w:rFonts w:hint="eastAsia"/>
                <w:color w:val="000000"/>
                <w:szCs w:val="21"/>
              </w:rPr>
              <w:t>材料，化学，物理系学生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center"/>
              <w:rPr>
                <w:szCs w:val="21"/>
              </w:rPr>
            </w:pPr>
            <w:r>
              <w:rPr>
                <w:rFonts w:hint="eastAsia"/>
                <w:szCs w:val="21"/>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rPr>
                <w:szCs w:val="21"/>
              </w:rPr>
            </w:pPr>
            <w:r>
              <w:rPr>
                <w:rFonts w:hint="eastAsia"/>
                <w:szCs w:val="21"/>
              </w:rPr>
              <w:t>物理与天文系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rPr>
                <w:rFonts w:hint="eastAsia"/>
              </w:rPr>
              <w:t>姚忻</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adjustRightInd w:val="0"/>
              <w:snapToGrid w:val="0"/>
              <w:rPr>
                <w:color w:val="000000"/>
                <w:sz w:val="24"/>
                <w:szCs w:val="24"/>
              </w:rPr>
            </w:pPr>
            <w:r>
              <w:rPr>
                <w:rFonts w:hint="eastAsia" w:ascii="Calibri" w:hAnsi="Calibri" w:eastAsia="宋体" w:cs="Times New Roman"/>
                <w:color w:val="000000"/>
                <w:szCs w:val="21"/>
              </w:rPr>
              <w:t>通过对材料制备的一般介绍，进一步引入到晶体生长的科学知识。在确保信息量丰富，数据完整可靠的基础上，注重讲课和前沿研究的课题紧密结合。使内容具有先进性，科学性和实用性。希望在本课程的学习中，学生能够学到具有普适意义的材料制备和晶体生长中的热力学和动力学知识。课程内容将以功能氧化物材料为主，穿插一些超导材料制备及晶体生长的基本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adjustRightInd w:val="0"/>
              <w:snapToGrid w:val="0"/>
              <w:rPr>
                <w:rFonts w:ascii="Times New Roman" w:hAnsi="Times New Roman" w:cs="Times New Roman"/>
              </w:rPr>
            </w:pPr>
            <w:r>
              <w:rPr>
                <w:rFonts w:ascii="Times New Roman" w:hAnsi="Times New Roman" w:cs="Times New Roman"/>
                <w:color w:val="000000"/>
                <w:szCs w:val="21"/>
              </w:rPr>
              <w:t xml:space="preserve">It covers general knowledge with respect to materials preparation of functional oxide and </w:t>
            </w:r>
            <w:r>
              <w:rPr>
                <w:rFonts w:ascii="Times New Roman" w:hAnsi="Times New Roman" w:cs="Times New Roman"/>
                <w:color w:val="000000"/>
                <w:sz w:val="24"/>
              </w:rPr>
              <w:t xml:space="preserve">crystal growth science. On the basis of plenty of information with complete and reliable data, this course pays more attention to close combination with hot topics in recent studies. As one of most important </w:t>
            </w:r>
            <w:r>
              <w:rPr>
                <w:rFonts w:ascii="Times New Roman" w:hAnsi="Times New Roman" w:cs="Times New Roman"/>
                <w:color w:val="000000"/>
                <w:szCs w:val="21"/>
              </w:rPr>
              <w:t>functional oxides, high temperature superconductor and its preparation in material science point of view will be introduced in detail.</w:t>
            </w:r>
            <w:r>
              <w:rPr>
                <w:rFonts w:ascii="Times New Roman" w:hAnsi="Times New Roman" w:cs="Times New Roman"/>
                <w:color w:val="000000"/>
                <w:sz w:val="24"/>
              </w:rPr>
              <w:t xml:space="preserve"> </w:t>
            </w:r>
            <w:r>
              <w:rPr>
                <w:rFonts w:ascii="Times New Roman" w:hAnsi="Times New Roman" w:eastAsia="仿宋_GB2312" w:cs="Times New Roman"/>
                <w:color w:val="000000"/>
              </w:rPr>
              <w:t>By learning the course, students can be aware of</w:t>
            </w:r>
            <w:r>
              <w:rPr>
                <w:rFonts w:ascii="Times New Roman" w:hAnsi="Times New Roman" w:cs="Times New Roman"/>
                <w:color w:val="000000"/>
                <w:sz w:val="24"/>
              </w:rPr>
              <w:t xml:space="preserve"> thermodynamics and kinetics, which has a universal sense in material preparation and crystal growth.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w:t>
            </w:r>
            <w:r>
              <w:t>course syllabus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6"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pPr>
              <w:adjustRightInd w:val="0"/>
              <w:snapToGrid w:val="0"/>
              <w:rPr>
                <w:rFonts w:ascii="Times New Roman" w:hAnsi="Times New Roman" w:eastAsia="宋体"/>
                <w:sz w:val="18"/>
                <w:szCs w:val="18"/>
              </w:rPr>
            </w:pPr>
            <w:r>
              <w:rPr>
                <w:rFonts w:hint="eastAsia" w:ascii="Times New Roman" w:hAnsi="Times New Roman" w:eastAsia="宋体"/>
                <w:sz w:val="18"/>
                <w:szCs w:val="18"/>
              </w:rPr>
              <w:t>1</w:t>
            </w:r>
            <w:r>
              <w:rPr>
                <w:rFonts w:hint="eastAsia" w:ascii="Times New Roman" w:eastAsia="宋体"/>
                <w:sz w:val="18"/>
                <w:szCs w:val="18"/>
              </w:rPr>
              <w:t>．</w:t>
            </w:r>
            <w:r>
              <w:rPr>
                <w:rFonts w:hint="eastAsia" w:ascii="Times New Roman" w:hAnsi="Times New Roman" w:eastAsia="宋体"/>
                <w:sz w:val="18"/>
                <w:szCs w:val="18"/>
              </w:rPr>
              <w:t>材料制备、晶体生长基本知识</w:t>
            </w:r>
          </w:p>
          <w:p>
            <w:pPr>
              <w:rPr>
                <w:rFonts w:ascii="Times New Roman" w:hAnsi="Times New Roman" w:eastAsia="宋体"/>
                <w:sz w:val="18"/>
                <w:szCs w:val="18"/>
              </w:rPr>
            </w:pPr>
            <w:r>
              <w:rPr>
                <w:rFonts w:hint="eastAsia" w:ascii="Times New Roman" w:hAnsi="Times New Roman" w:eastAsia="宋体"/>
                <w:sz w:val="18"/>
                <w:szCs w:val="18"/>
              </w:rPr>
              <w:t>2</w:t>
            </w:r>
            <w:r>
              <w:rPr>
                <w:rFonts w:hint="eastAsia" w:ascii="Times New Roman" w:eastAsia="宋体"/>
                <w:sz w:val="18"/>
                <w:szCs w:val="18"/>
              </w:rPr>
              <w:t>．</w:t>
            </w:r>
            <w:r>
              <w:rPr>
                <w:rFonts w:hint="eastAsia" w:ascii="Times New Roman" w:hAnsi="Times New Roman" w:eastAsia="宋体"/>
                <w:sz w:val="18"/>
                <w:szCs w:val="18"/>
              </w:rPr>
              <w:t>溶解度曲线和晶体生长关系</w:t>
            </w:r>
          </w:p>
          <w:p>
            <w:pPr>
              <w:rPr>
                <w:rFonts w:ascii="Times New Roman" w:hAnsi="Times New Roman" w:eastAsia="宋体"/>
                <w:sz w:val="18"/>
                <w:szCs w:val="18"/>
              </w:rPr>
            </w:pPr>
            <w:r>
              <w:rPr>
                <w:rFonts w:hint="eastAsia" w:ascii="Times New Roman" w:hAnsi="Times New Roman" w:eastAsia="宋体"/>
                <w:sz w:val="18"/>
                <w:szCs w:val="18"/>
              </w:rPr>
              <w:t>3</w:t>
            </w:r>
            <w:r>
              <w:rPr>
                <w:rFonts w:hint="eastAsia" w:ascii="Times New Roman" w:eastAsia="宋体"/>
                <w:sz w:val="18"/>
                <w:szCs w:val="18"/>
              </w:rPr>
              <w:t>．相图和</w:t>
            </w:r>
            <w:r>
              <w:rPr>
                <w:rFonts w:hint="eastAsia" w:ascii="Times New Roman" w:hAnsi="Times New Roman" w:eastAsia="宋体"/>
                <w:sz w:val="18"/>
                <w:szCs w:val="18"/>
              </w:rPr>
              <w:t>多组元氧化物晶体生长的化学组分控制关系</w:t>
            </w:r>
          </w:p>
          <w:p>
            <w:pPr>
              <w:rPr>
                <w:rFonts w:ascii="Times New Roman" w:hAnsi="Times New Roman" w:eastAsia="宋体"/>
                <w:sz w:val="18"/>
                <w:szCs w:val="18"/>
              </w:rPr>
            </w:pPr>
            <w:r>
              <w:rPr>
                <w:rFonts w:hint="eastAsia" w:ascii="Times New Roman" w:hAnsi="Times New Roman" w:eastAsia="宋体"/>
                <w:sz w:val="18"/>
                <w:szCs w:val="18"/>
              </w:rPr>
              <w:t>4</w:t>
            </w:r>
            <w:r>
              <w:rPr>
                <w:rFonts w:hint="eastAsia" w:ascii="Times New Roman" w:eastAsia="宋体"/>
                <w:sz w:val="18"/>
                <w:szCs w:val="18"/>
              </w:rPr>
              <w:t>．</w:t>
            </w:r>
            <w:r>
              <w:rPr>
                <w:rFonts w:hint="eastAsia" w:ascii="Times New Roman" w:hAnsi="Times New Roman" w:eastAsia="宋体"/>
                <w:sz w:val="18"/>
                <w:szCs w:val="18"/>
              </w:rPr>
              <w:t>晶体生长模式、微观机制</w:t>
            </w:r>
          </w:p>
          <w:p>
            <w:pPr>
              <w:rPr>
                <w:rFonts w:ascii="Times New Roman" w:hAnsi="Times New Roman" w:eastAsia="宋体"/>
                <w:sz w:val="18"/>
                <w:szCs w:val="18"/>
              </w:rPr>
            </w:pPr>
            <w:r>
              <w:rPr>
                <w:rFonts w:hint="eastAsia" w:ascii="Times New Roman" w:hAnsi="Times New Roman" w:eastAsia="宋体"/>
                <w:sz w:val="18"/>
                <w:szCs w:val="18"/>
              </w:rPr>
              <w:t>5．外延膜的取向生长调控和机理</w:t>
            </w:r>
          </w:p>
          <w:p>
            <w:pPr>
              <w:rPr>
                <w:rFonts w:ascii="Times New Roman" w:hAnsi="Times New Roman" w:eastAsia="宋体"/>
                <w:sz w:val="18"/>
                <w:szCs w:val="18"/>
              </w:rPr>
            </w:pPr>
            <w:r>
              <w:rPr>
                <w:rFonts w:hint="eastAsia" w:ascii="Times New Roman" w:hAnsi="Times New Roman" w:eastAsia="宋体"/>
                <w:sz w:val="18"/>
                <w:szCs w:val="18"/>
              </w:rPr>
              <w:t>6．半固体中生长的氧化物晶体</w:t>
            </w:r>
          </w:p>
          <w:p>
            <w:pPr>
              <w:rPr>
                <w:rFonts w:ascii="Times New Roman" w:hAnsi="Times New Roman" w:eastAsia="宋体"/>
                <w:sz w:val="18"/>
                <w:szCs w:val="18"/>
              </w:rPr>
            </w:pPr>
            <w:r>
              <w:rPr>
                <w:rFonts w:hint="eastAsia" w:ascii="Times New Roman" w:hAnsi="Times New Roman" w:eastAsia="宋体"/>
                <w:sz w:val="18"/>
                <w:szCs w:val="18"/>
              </w:rPr>
              <w:t>7．薄膜过热现象、机理及应用</w:t>
            </w:r>
          </w:p>
          <w:p>
            <w:r>
              <w:rPr>
                <w:rFonts w:hint="eastAsia" w:ascii="Times New Roman" w:hAnsi="Times New Roman" w:eastAsia="宋体"/>
                <w:sz w:val="18"/>
                <w:szCs w:val="18"/>
              </w:rPr>
              <w:t>8．</w:t>
            </w:r>
            <w:r>
              <w:rPr>
                <w:rFonts w:hint="eastAsia" w:ascii="Times New Roman" w:eastAsia="宋体"/>
                <w:bCs/>
                <w:sz w:val="18"/>
                <w:szCs w:val="18"/>
              </w:rPr>
              <w:t>培养学生提出问题、解决问题，逻辑思维能力，表达能力，实践能力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教学内容、进度安排及要求</w:t>
            </w:r>
          </w:p>
          <w:p>
            <w:pPr>
              <w:spacing w:line="460" w:lineRule="exact"/>
              <w:jc w:val="center"/>
            </w:pPr>
            <w:r>
              <w:rPr>
                <w:rFonts w:hint="eastAsia"/>
              </w:rPr>
              <w:t>(</w:t>
            </w:r>
            <w:r>
              <w:t>Class Schedule</w:t>
            </w:r>
          </w:p>
          <w:p>
            <w:pPr>
              <w:spacing w:line="460" w:lineRule="exact"/>
              <w:jc w:val="center"/>
            </w:pPr>
            <w:r>
              <w:rPr>
                <w:rFonts w:hint="eastAsia"/>
              </w:rPr>
              <w:t>&amp;</w:t>
            </w:r>
            <w:r>
              <w:t>Requirements</w:t>
            </w:r>
            <w:r>
              <w:rPr>
                <w:rFonts w:hint="eastAsia"/>
              </w:rPr>
              <w:t>)</w:t>
            </w:r>
          </w:p>
        </w:tc>
        <w:tc>
          <w:tcPr>
            <w:tcW w:w="7518" w:type="dxa"/>
            <w:gridSpan w:val="7"/>
            <w:vAlign w:val="center"/>
          </w:tcPr>
          <w:tbl>
            <w:tblPr>
              <w:tblStyle w:val="10"/>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导论，</w:t>
                  </w:r>
                  <w:r>
                    <w:rPr>
                      <w:rFonts w:ascii="Times New Roman" w:hAnsi="宋体" w:eastAsia="宋体"/>
                      <w:sz w:val="18"/>
                      <w:szCs w:val="18"/>
                    </w:rPr>
                    <w:t>简介课程</w:t>
                  </w:r>
                </w:p>
              </w:tc>
              <w:tc>
                <w:tcPr>
                  <w:tcW w:w="816" w:type="dxa"/>
                  <w:vAlign w:val="center"/>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阅读参考书</w:t>
                  </w:r>
                </w:p>
              </w:tc>
              <w:tc>
                <w:tcPr>
                  <w:tcW w:w="1146"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课程入门</w:t>
                  </w:r>
                </w:p>
              </w:tc>
              <w:tc>
                <w:tcPr>
                  <w:tcW w:w="1162"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材料制备、晶体生长</w:t>
                  </w:r>
                  <w:r>
                    <w:rPr>
                      <w:rFonts w:hint="eastAsia" w:ascii="Times New Roman" w:hAnsi="Times New Roman" w:eastAsia="宋体"/>
                      <w:sz w:val="18"/>
                      <w:szCs w:val="18"/>
                    </w:rPr>
                    <w:t>基础</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阅读参考书</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专业知识入门</w:t>
                  </w:r>
                </w:p>
              </w:tc>
              <w:tc>
                <w:tcPr>
                  <w:tcW w:w="1162" w:type="dxa"/>
                </w:tcPr>
                <w:p>
                  <w:pPr>
                    <w:adjustRightInd w:val="0"/>
                    <w:snapToGrid w:val="0"/>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溶解度曲线、大晶体生长</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阅读参考书</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专业知识入门</w:t>
                  </w:r>
                </w:p>
              </w:tc>
              <w:tc>
                <w:tcPr>
                  <w:tcW w:w="1162" w:type="dxa"/>
                </w:tcPr>
                <w:p>
                  <w:pPr>
                    <w:adjustRightInd w:val="0"/>
                    <w:snapToGrid w:val="0"/>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多组元氧化物晶体成分控制</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阅读参考书</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专业知识入门</w:t>
                  </w:r>
                </w:p>
              </w:tc>
              <w:tc>
                <w:tcPr>
                  <w:tcW w:w="1162" w:type="dxa"/>
                </w:tcPr>
                <w:p>
                  <w:pPr>
                    <w:adjustRightInd w:val="0"/>
                    <w:snapToGrid w:val="0"/>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adjustRightInd w:val="0"/>
                    <w:snapToGrid w:val="0"/>
                    <w:jc w:val="center"/>
                    <w:rPr>
                      <w:rFonts w:ascii="Times New Roman" w:hAnsi="Times New Roman" w:eastAsia="宋体"/>
                      <w:sz w:val="18"/>
                      <w:szCs w:val="18"/>
                    </w:rPr>
                  </w:pPr>
                  <w:r>
                    <w:rPr>
                      <w:rFonts w:ascii="Times New Roman" w:hAnsi="宋体" w:eastAsia="宋体"/>
                      <w:sz w:val="18"/>
                      <w:szCs w:val="18"/>
                    </w:rPr>
                    <w:t>晶体生长的</w:t>
                  </w:r>
                  <w:r>
                    <w:rPr>
                      <w:rFonts w:hint="eastAsia" w:ascii="Times New Roman" w:hAnsi="宋体" w:eastAsia="宋体"/>
                      <w:sz w:val="18"/>
                      <w:szCs w:val="18"/>
                    </w:rPr>
                    <w:t>化学</w:t>
                  </w:r>
                  <w:r>
                    <w:rPr>
                      <w:rFonts w:ascii="Times New Roman" w:hAnsi="宋体" w:eastAsia="宋体"/>
                      <w:sz w:val="18"/>
                      <w:szCs w:val="18"/>
                    </w:rPr>
                    <w:t>掺杂</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阅读参考书</w:t>
                  </w:r>
                </w:p>
              </w:tc>
              <w:tc>
                <w:tcPr>
                  <w:tcW w:w="1146"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专业知识入门</w:t>
                  </w:r>
                </w:p>
              </w:tc>
              <w:tc>
                <w:tcPr>
                  <w:tcW w:w="1162"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adjustRightInd w:val="0"/>
                    <w:snapToGrid w:val="0"/>
                    <w:jc w:val="center"/>
                    <w:rPr>
                      <w:rFonts w:hint="eastAsia" w:ascii="Times New Roman" w:hAnsi="Times New Roman" w:eastAsia="宋体"/>
                      <w:sz w:val="18"/>
                      <w:szCs w:val="18"/>
                    </w:rPr>
                  </w:pPr>
                  <w:r>
                    <w:rPr>
                      <w:rFonts w:hint="eastAsia" w:ascii="Calibri" w:hAnsi="Calibri" w:eastAsia="宋体" w:cs="Times New Roman"/>
                      <w:szCs w:val="21"/>
                    </w:rPr>
                    <w:t>口头报告及</w:t>
                  </w:r>
                  <w:r>
                    <w:rPr>
                      <w:rFonts w:ascii="Calibri" w:hAnsi="Calibri" w:eastAsia="宋体" w:cs="Times New Roman"/>
                      <w:szCs w:val="21"/>
                    </w:rPr>
                    <w:t>讲评</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研讨</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完成</w:t>
                  </w:r>
                  <w:r>
                    <w:rPr>
                      <w:rFonts w:hint="eastAsia" w:ascii="Times New Roman" w:hAnsi="Times New Roman" w:eastAsia="宋体"/>
                      <w:szCs w:val="21"/>
                    </w:rPr>
                    <w:t>PPT</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完成一个主题演讲</w:t>
                  </w:r>
                </w:p>
              </w:tc>
              <w:tc>
                <w:tcPr>
                  <w:tcW w:w="1162"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调研、演讲逻辑、表达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晶体生长模式、微观机制</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阅读参考书</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专业知识入门</w:t>
                  </w:r>
                </w:p>
              </w:tc>
              <w:tc>
                <w:tcPr>
                  <w:tcW w:w="1162" w:type="dxa"/>
                </w:tcPr>
                <w:p>
                  <w:pPr>
                    <w:adjustRightInd w:val="0"/>
                    <w:snapToGrid w:val="0"/>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外延膜取向生长调控和机理</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阅读参考书</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专业知识入门</w:t>
                  </w:r>
                </w:p>
              </w:tc>
              <w:tc>
                <w:tcPr>
                  <w:tcW w:w="1162" w:type="dxa"/>
                </w:tcPr>
                <w:p>
                  <w:pPr>
                    <w:adjustRightInd w:val="0"/>
                    <w:snapToGrid w:val="0"/>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薄膜过热现象、机理及应用</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阅读参考书</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专业知识入门</w:t>
                  </w:r>
                </w:p>
              </w:tc>
              <w:tc>
                <w:tcPr>
                  <w:tcW w:w="1162" w:type="dxa"/>
                </w:tcPr>
                <w:p>
                  <w:pPr>
                    <w:adjustRightInd w:val="0"/>
                    <w:snapToGrid w:val="0"/>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adjustRightInd w:val="0"/>
                    <w:snapToGrid w:val="0"/>
                    <w:jc w:val="center"/>
                    <w:rPr>
                      <w:rFonts w:ascii="Times New Roman" w:hAnsi="Times New Roman" w:eastAsia="宋体"/>
                      <w:sz w:val="18"/>
                      <w:szCs w:val="18"/>
                    </w:rPr>
                  </w:pPr>
                  <w:r>
                    <w:rPr>
                      <w:rFonts w:hint="eastAsia" w:ascii="Times New Roman" w:hAnsi="宋体" w:eastAsia="宋体"/>
                      <w:sz w:val="18"/>
                      <w:szCs w:val="18"/>
                    </w:rPr>
                    <w:t>半固体中生长的氧化物晶体</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tcPr>
                <w:p>
                  <w:pPr>
                    <w:adjustRightInd w:val="0"/>
                    <w:snapToGrid w:val="0"/>
                    <w:jc w:val="center"/>
                    <w:rPr>
                      <w:rFonts w:ascii="Times New Roman" w:hAnsi="Times New Roman" w:eastAsia="宋体"/>
                      <w:szCs w:val="21"/>
                    </w:rPr>
                  </w:pPr>
                  <w:r>
                    <w:rPr>
                      <w:rFonts w:hint="eastAsia" w:ascii="Times New Roman" w:hAnsi="宋体" w:eastAsia="宋体"/>
                      <w:szCs w:val="21"/>
                    </w:rPr>
                    <w:t>上课</w:t>
                  </w:r>
                </w:p>
              </w:tc>
              <w:tc>
                <w:tcPr>
                  <w:tcW w:w="1355" w:type="dxa"/>
                </w:tcPr>
                <w:p>
                  <w:pPr>
                    <w:adjustRightInd w:val="0"/>
                    <w:snapToGrid w:val="0"/>
                    <w:rPr>
                      <w:rFonts w:ascii="Times New Roman" w:hAnsi="Times New Roman" w:eastAsia="宋体"/>
                      <w:szCs w:val="21"/>
                    </w:rPr>
                  </w:pPr>
                  <w:r>
                    <w:rPr>
                      <w:rFonts w:hint="eastAsia" w:ascii="Times New Roman" w:hAnsi="宋体" w:eastAsia="宋体"/>
                      <w:szCs w:val="21"/>
                    </w:rPr>
                    <w:t>阅读参考书</w:t>
                  </w:r>
                </w:p>
              </w:tc>
              <w:tc>
                <w:tcPr>
                  <w:tcW w:w="1146" w:type="dxa"/>
                </w:tcPr>
                <w:p>
                  <w:pPr>
                    <w:adjustRightInd w:val="0"/>
                    <w:snapToGrid w:val="0"/>
                    <w:rPr>
                      <w:rFonts w:ascii="Times New Roman" w:hAnsi="Times New Roman" w:eastAsia="宋体"/>
                      <w:szCs w:val="21"/>
                    </w:rPr>
                  </w:pPr>
                  <w:r>
                    <w:rPr>
                      <w:rFonts w:hint="eastAsia" w:ascii="Times New Roman" w:hAnsi="宋体" w:eastAsia="宋体"/>
                      <w:szCs w:val="21"/>
                    </w:rPr>
                    <w:t>专业知识入门</w:t>
                  </w:r>
                </w:p>
              </w:tc>
              <w:tc>
                <w:tcPr>
                  <w:tcW w:w="1162" w:type="dxa"/>
                </w:tcPr>
                <w:p>
                  <w:pPr>
                    <w:adjustRightInd w:val="0"/>
                    <w:snapToGrid w:val="0"/>
                    <w:rPr>
                      <w:rFonts w:ascii="Times New Roman" w:hAnsi="Times New Roman" w:eastAsia="宋体"/>
                      <w:szCs w:val="21"/>
                    </w:rPr>
                  </w:pPr>
                  <w:r>
                    <w:rPr>
                      <w:rFonts w:hint="eastAsia" w:ascii="Times New Roman" w:hAnsi="宋体" w:eastAsia="宋体"/>
                      <w:szCs w:val="21"/>
                    </w:rPr>
                    <w:t>提问、讨论互动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adjustRightInd w:val="0"/>
                    <w:snapToGrid w:val="0"/>
                    <w:jc w:val="center"/>
                    <w:rPr>
                      <w:rFonts w:hint="eastAsia" w:ascii="Times New Roman" w:hAnsi="Times New Roman" w:eastAsia="宋体"/>
                      <w:sz w:val="18"/>
                      <w:szCs w:val="18"/>
                    </w:rPr>
                  </w:pPr>
                  <w:r>
                    <w:rPr>
                      <w:rFonts w:hint="eastAsia" w:ascii="Calibri" w:hAnsi="Calibri" w:eastAsia="宋体" w:cs="Times New Roman"/>
                      <w:szCs w:val="21"/>
                    </w:rPr>
                    <w:t>口头报告及</w:t>
                  </w:r>
                  <w:r>
                    <w:rPr>
                      <w:rFonts w:ascii="Calibri" w:hAnsi="Calibri" w:eastAsia="宋体" w:cs="Times New Roman"/>
                      <w:szCs w:val="21"/>
                    </w:rPr>
                    <w:t>书面报告</w:t>
                  </w:r>
                </w:p>
              </w:tc>
              <w:tc>
                <w:tcPr>
                  <w:tcW w:w="816" w:type="dxa"/>
                </w:tcPr>
                <w:p>
                  <w:pPr>
                    <w:adjustRightInd w:val="0"/>
                    <w:snapToGrid w:val="0"/>
                    <w:jc w:val="center"/>
                    <w:rPr>
                      <w:rFonts w:ascii="Times New Roman" w:hAnsi="Times New Roman" w:eastAsia="宋体"/>
                      <w:szCs w:val="21"/>
                    </w:rPr>
                  </w:pPr>
                  <w:r>
                    <w:rPr>
                      <w:rFonts w:hint="eastAsia" w:ascii="Times New Roman" w:hAnsi="Times New Roman" w:eastAsia="宋体"/>
                      <w:szCs w:val="21"/>
                    </w:rPr>
                    <w:t>3</w:t>
                  </w:r>
                </w:p>
              </w:tc>
              <w:tc>
                <w:tcPr>
                  <w:tcW w:w="1334"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研讨</w:t>
                  </w:r>
                </w:p>
              </w:tc>
              <w:tc>
                <w:tcPr>
                  <w:tcW w:w="1355"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完成</w:t>
                  </w:r>
                  <w:r>
                    <w:rPr>
                      <w:rFonts w:hint="eastAsia" w:ascii="Times New Roman" w:hAnsi="Times New Roman" w:eastAsia="宋体"/>
                      <w:szCs w:val="21"/>
                    </w:rPr>
                    <w:t>PPT和</w:t>
                  </w:r>
                  <w:r>
                    <w:rPr>
                      <w:rFonts w:hint="eastAsia" w:ascii="Calibri" w:hAnsi="Calibri" w:eastAsia="宋体" w:cs="Times New Roman"/>
                      <w:szCs w:val="21"/>
                    </w:rPr>
                    <w:t>书面报告</w:t>
                  </w:r>
                </w:p>
              </w:tc>
              <w:tc>
                <w:tcPr>
                  <w:tcW w:w="1146"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具有独立思考内容</w:t>
                  </w:r>
                </w:p>
              </w:tc>
              <w:tc>
                <w:tcPr>
                  <w:tcW w:w="1162" w:type="dxa"/>
                  <w:vAlign w:val="center"/>
                </w:tcPr>
                <w:p>
                  <w:pPr>
                    <w:adjustRightInd w:val="0"/>
                    <w:snapToGrid w:val="0"/>
                    <w:jc w:val="center"/>
                    <w:rPr>
                      <w:rFonts w:ascii="Times New Roman" w:hAnsi="Times New Roman" w:eastAsia="宋体"/>
                      <w:szCs w:val="21"/>
                    </w:rPr>
                  </w:pPr>
                  <w:r>
                    <w:rPr>
                      <w:rFonts w:hint="eastAsia" w:ascii="Times New Roman" w:hAnsi="宋体" w:eastAsia="宋体"/>
                      <w:szCs w:val="21"/>
                    </w:rPr>
                    <w:t>选题、思考、科学性</w:t>
                  </w:r>
                </w:p>
              </w:tc>
            </w:tr>
          </w:tbl>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w:t>
            </w:r>
          </w:p>
          <w:p>
            <w:pPr>
              <w:jc w:val="center"/>
            </w:pPr>
            <w:r>
              <w:rPr>
                <w:rFonts w:hint="eastAsia"/>
              </w:rPr>
              <w:t>(Grading)</w:t>
            </w:r>
          </w:p>
        </w:tc>
        <w:tc>
          <w:tcPr>
            <w:tcW w:w="7518" w:type="dxa"/>
            <w:gridSpan w:val="7"/>
            <w:vAlign w:val="center"/>
          </w:tcPr>
          <w:p>
            <w:pPr>
              <w:rPr>
                <w:rFonts w:ascii="Calibri" w:hAnsi="Calibri" w:eastAsia="宋体" w:cs="Times New Roman"/>
                <w:szCs w:val="21"/>
              </w:rPr>
            </w:pPr>
            <w:r>
              <w:rPr>
                <w:rFonts w:hint="eastAsia" w:ascii="Calibri" w:hAnsi="Calibri" w:eastAsia="宋体" w:cs="Times New Roman"/>
                <w:color w:val="000000"/>
                <w:sz w:val="24"/>
                <w:szCs w:val="24"/>
              </w:rPr>
              <w:t>成绩评定通过</w:t>
            </w:r>
            <w:r>
              <w:rPr>
                <w:rFonts w:hint="eastAsia" w:ascii="Calibri" w:hAnsi="Calibri" w:eastAsia="宋体" w:cs="Times New Roman"/>
                <w:szCs w:val="21"/>
              </w:rPr>
              <w:t>书面和口头报告。</w:t>
            </w:r>
          </w:p>
          <w:p>
            <w:pPr>
              <w:jc w:val="left"/>
            </w:pPr>
            <w:r>
              <w:rPr>
                <w:rFonts w:hint="eastAsia" w:ascii="Calibri" w:hAnsi="Calibri" w:eastAsia="宋体" w:cs="Times New Roman"/>
                <w:szCs w:val="21"/>
              </w:rPr>
              <w:t>上述报告应反映出：学生具有一定的学术表达能力，一定的专业知识；有思考，有观点，有对本课程的体会和建议</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w:t>
            </w:r>
          </w:p>
          <w:p>
            <w:pPr>
              <w:jc w:val="center"/>
            </w:pPr>
            <w:r>
              <w:rPr>
                <w:rFonts w:hint="eastAsia"/>
              </w:rPr>
              <w:t>(Textbooks &amp; Other Materials)</w:t>
            </w:r>
          </w:p>
        </w:tc>
        <w:tc>
          <w:tcPr>
            <w:tcW w:w="7518" w:type="dxa"/>
            <w:gridSpan w:val="7"/>
            <w:vAlign w:val="center"/>
          </w:tcPr>
          <w:p>
            <w:pPr>
              <w:jc w:val="center"/>
              <w:rPr>
                <w:rFonts w:ascii="Times New Roman" w:hAnsi="宋体" w:eastAsia="宋体" w:cs="Arial"/>
                <w:color w:val="000000"/>
                <w:kern w:val="24"/>
                <w:szCs w:val="21"/>
              </w:rPr>
            </w:pPr>
            <w:r>
              <w:rPr>
                <w:rFonts w:hint="eastAsia" w:ascii="Times New Roman" w:hAnsi="宋体" w:eastAsia="宋体" w:cs="Arial"/>
                <w:color w:val="000000"/>
                <w:kern w:val="24"/>
                <w:szCs w:val="21"/>
              </w:rPr>
              <w:t>晶体生长科学与技术（科学出版社），</w:t>
            </w:r>
          </w:p>
          <w:p>
            <w:pPr>
              <w:jc w:val="center"/>
            </w:pPr>
            <w:r>
              <w:rPr>
                <w:rFonts w:hint="eastAsia" w:ascii="Times New Roman" w:hAnsi="宋体" w:eastAsia="宋体" w:cs="Arial"/>
                <w:color w:val="000000"/>
                <w:kern w:val="24"/>
                <w:szCs w:val="21"/>
              </w:rPr>
              <w:t>材料合成与制备方法（</w:t>
            </w:r>
            <w:r>
              <w:rPr>
                <w:rFonts w:hint="eastAsia" w:ascii="Times New Roman" w:cs="Arial"/>
                <w:color w:val="000000"/>
                <w:kern w:val="24"/>
                <w:szCs w:val="21"/>
              </w:rPr>
              <w:t>哈尔滨工业大学出版社</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w:t>
            </w:r>
          </w:p>
          <w:p>
            <w:pPr>
              <w:jc w:val="center"/>
            </w:pPr>
            <w:r>
              <w:rPr>
                <w:rFonts w:hint="eastAsia"/>
              </w:rPr>
              <w:t>（More）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w:t>
            </w:r>
          </w:p>
          <w:p>
            <w:pPr>
              <w:jc w:val="center"/>
            </w:pPr>
            <w:r>
              <w:rPr>
                <w:rFonts w:hint="eastAsia"/>
              </w:rPr>
              <w:t>（Notes）</w:t>
            </w:r>
          </w:p>
        </w:tc>
        <w:tc>
          <w:tcPr>
            <w:tcW w:w="7518" w:type="dxa"/>
            <w:gridSpan w:val="7"/>
            <w:vAlign w:val="center"/>
          </w:tcPr>
          <w:p>
            <w:pPr>
              <w:jc w:val="center"/>
              <w:rPr>
                <w:color w:val="00B050"/>
              </w:rPr>
            </w:pPr>
          </w:p>
        </w:tc>
      </w:tr>
    </w:tbl>
    <w:p>
      <w:pPr>
        <w:widowControl/>
        <w:jc w:val="left"/>
      </w:pPr>
    </w:p>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83F04"/>
    <w:rsid w:val="000A3107"/>
    <w:rsid w:val="000A548F"/>
    <w:rsid w:val="000B4F6B"/>
    <w:rsid w:val="000B5B61"/>
    <w:rsid w:val="000C4BA4"/>
    <w:rsid w:val="000F61E0"/>
    <w:rsid w:val="00122AB1"/>
    <w:rsid w:val="00124F58"/>
    <w:rsid w:val="00127A21"/>
    <w:rsid w:val="00133ABB"/>
    <w:rsid w:val="00143A1B"/>
    <w:rsid w:val="001473BE"/>
    <w:rsid w:val="00152B75"/>
    <w:rsid w:val="001552DE"/>
    <w:rsid w:val="00160181"/>
    <w:rsid w:val="00170EB4"/>
    <w:rsid w:val="00181BE7"/>
    <w:rsid w:val="001A4FE4"/>
    <w:rsid w:val="001B6406"/>
    <w:rsid w:val="001C7AD8"/>
    <w:rsid w:val="001D01F3"/>
    <w:rsid w:val="001D0BF5"/>
    <w:rsid w:val="001E73FD"/>
    <w:rsid w:val="00201A39"/>
    <w:rsid w:val="00207DEF"/>
    <w:rsid w:val="00210E40"/>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C4422"/>
    <w:rsid w:val="003D10F5"/>
    <w:rsid w:val="003E65CC"/>
    <w:rsid w:val="0043146E"/>
    <w:rsid w:val="00446816"/>
    <w:rsid w:val="00461685"/>
    <w:rsid w:val="00474457"/>
    <w:rsid w:val="00487AD7"/>
    <w:rsid w:val="004921CE"/>
    <w:rsid w:val="004D2886"/>
    <w:rsid w:val="004D4153"/>
    <w:rsid w:val="004D62C4"/>
    <w:rsid w:val="004E283B"/>
    <w:rsid w:val="004E49CB"/>
    <w:rsid w:val="005031D5"/>
    <w:rsid w:val="00511D50"/>
    <w:rsid w:val="00520B0A"/>
    <w:rsid w:val="00565461"/>
    <w:rsid w:val="005708C5"/>
    <w:rsid w:val="00577467"/>
    <w:rsid w:val="00577ECF"/>
    <w:rsid w:val="005B52BE"/>
    <w:rsid w:val="005F49AB"/>
    <w:rsid w:val="0061590F"/>
    <w:rsid w:val="00652434"/>
    <w:rsid w:val="00656964"/>
    <w:rsid w:val="00663B60"/>
    <w:rsid w:val="00686943"/>
    <w:rsid w:val="006A13AE"/>
    <w:rsid w:val="006D3645"/>
    <w:rsid w:val="006F1849"/>
    <w:rsid w:val="006F49C1"/>
    <w:rsid w:val="00707583"/>
    <w:rsid w:val="0074127F"/>
    <w:rsid w:val="00784A11"/>
    <w:rsid w:val="00795F2D"/>
    <w:rsid w:val="007A19E1"/>
    <w:rsid w:val="007C7423"/>
    <w:rsid w:val="007D4099"/>
    <w:rsid w:val="007E4B77"/>
    <w:rsid w:val="008124D3"/>
    <w:rsid w:val="008158EA"/>
    <w:rsid w:val="00823ACC"/>
    <w:rsid w:val="00825C1B"/>
    <w:rsid w:val="00857453"/>
    <w:rsid w:val="00890F38"/>
    <w:rsid w:val="008954B7"/>
    <w:rsid w:val="008A7203"/>
    <w:rsid w:val="008D5808"/>
    <w:rsid w:val="008F7DAE"/>
    <w:rsid w:val="00901F86"/>
    <w:rsid w:val="00904EBA"/>
    <w:rsid w:val="0090604F"/>
    <w:rsid w:val="009202E6"/>
    <w:rsid w:val="00931F97"/>
    <w:rsid w:val="009325A7"/>
    <w:rsid w:val="0094583E"/>
    <w:rsid w:val="009521A6"/>
    <w:rsid w:val="0097016C"/>
    <w:rsid w:val="009744FC"/>
    <w:rsid w:val="00983A28"/>
    <w:rsid w:val="009A0D3D"/>
    <w:rsid w:val="009A13D5"/>
    <w:rsid w:val="009A18A1"/>
    <w:rsid w:val="009C2014"/>
    <w:rsid w:val="009E73FA"/>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17B7"/>
    <w:rsid w:val="00B74383"/>
    <w:rsid w:val="00B970D8"/>
    <w:rsid w:val="00BE022B"/>
    <w:rsid w:val="00C040DE"/>
    <w:rsid w:val="00C46B87"/>
    <w:rsid w:val="00C73038"/>
    <w:rsid w:val="00C85828"/>
    <w:rsid w:val="00CB685A"/>
    <w:rsid w:val="00CE4002"/>
    <w:rsid w:val="00CF32A8"/>
    <w:rsid w:val="00CF7312"/>
    <w:rsid w:val="00D130CC"/>
    <w:rsid w:val="00D1758F"/>
    <w:rsid w:val="00D23BC7"/>
    <w:rsid w:val="00D41A07"/>
    <w:rsid w:val="00D43323"/>
    <w:rsid w:val="00D47A4D"/>
    <w:rsid w:val="00D644B5"/>
    <w:rsid w:val="00D73A3C"/>
    <w:rsid w:val="00D85250"/>
    <w:rsid w:val="00DA5305"/>
    <w:rsid w:val="00DB5794"/>
    <w:rsid w:val="00DC7BDC"/>
    <w:rsid w:val="00DF671F"/>
    <w:rsid w:val="00E025AD"/>
    <w:rsid w:val="00E06426"/>
    <w:rsid w:val="00E30BA9"/>
    <w:rsid w:val="00E32622"/>
    <w:rsid w:val="00E43921"/>
    <w:rsid w:val="00E54B0F"/>
    <w:rsid w:val="00E90402"/>
    <w:rsid w:val="00E953DB"/>
    <w:rsid w:val="00EA259D"/>
    <w:rsid w:val="00EB0D01"/>
    <w:rsid w:val="00EB160F"/>
    <w:rsid w:val="00EB20C0"/>
    <w:rsid w:val="00EC1070"/>
    <w:rsid w:val="00ED2940"/>
    <w:rsid w:val="00ED30B5"/>
    <w:rsid w:val="00EE3A1C"/>
    <w:rsid w:val="00EE5AE4"/>
    <w:rsid w:val="00EF1DC7"/>
    <w:rsid w:val="00F262EB"/>
    <w:rsid w:val="00F42069"/>
    <w:rsid w:val="00F746B7"/>
    <w:rsid w:val="00FB4460"/>
    <w:rsid w:val="00FC6018"/>
    <w:rsid w:val="00FC687D"/>
    <w:rsid w:val="00FE20EB"/>
    <w:rsid w:val="00FE4D40"/>
    <w:rsid w:val="673550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5"/>
    <w:unhideWhenUsed/>
    <w:uiPriority w:val="99"/>
    <w:pPr>
      <w:tabs>
        <w:tab w:val="center" w:pos="4153"/>
        <w:tab w:val="right" w:pos="8306"/>
      </w:tabs>
      <w:snapToGrid w:val="0"/>
      <w:jc w:val="left"/>
    </w:pPr>
    <w:rPr>
      <w:sz w:val="18"/>
      <w:szCs w:val="18"/>
    </w:rPr>
  </w:style>
  <w:style w:type="paragraph" w:styleId="4">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semiHidden/>
    <w:unhideWhenUsed/>
    <w:uiPriority w:val="99"/>
    <w:rPr>
      <w:color w:val="0000FF"/>
      <w:u w:val="non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1">
    <w:name w:val="List Paragraph"/>
    <w:basedOn w:val="1"/>
    <w:qFormat/>
    <w:uiPriority w:val="34"/>
    <w:pPr>
      <w:ind w:firstLine="420" w:firstLineChars="200"/>
    </w:pPr>
  </w:style>
  <w:style w:type="paragraph" w:customStyle="1" w:styleId="12">
    <w:name w:val="样式2"/>
    <w:basedOn w:val="1"/>
    <w:uiPriority w:val="0"/>
    <w:rPr>
      <w:rFonts w:ascii="宋体" w:hAnsi="宋体" w:eastAsia="宋体" w:cs="Symeteo"/>
      <w:bCs/>
      <w:color w:val="FF0000"/>
      <w:sz w:val="24"/>
      <w:szCs w:val="24"/>
    </w:rPr>
  </w:style>
  <w:style w:type="character" w:customStyle="1" w:styleId="13">
    <w:name w:val="批注框文本 Char"/>
    <w:basedOn w:val="6"/>
    <w:link w:val="2"/>
    <w:semiHidden/>
    <w:uiPriority w:val="99"/>
    <w:rPr>
      <w:sz w:val="18"/>
      <w:szCs w:val="18"/>
    </w:rPr>
  </w:style>
  <w:style w:type="character" w:customStyle="1" w:styleId="14">
    <w:name w:val="页眉 Char"/>
    <w:basedOn w:val="6"/>
    <w:link w:val="4"/>
    <w:uiPriority w:val="99"/>
    <w:rPr>
      <w:sz w:val="18"/>
      <w:szCs w:val="18"/>
    </w:rPr>
  </w:style>
  <w:style w:type="character" w:customStyle="1" w:styleId="15">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319</Words>
  <Characters>1819</Characters>
  <Lines>15</Lines>
  <Paragraphs>4</Paragraphs>
  <TotalTime>0</TotalTime>
  <ScaleCrop>false</ScaleCrop>
  <LinksUpToDate>false</LinksUpToDate>
  <CharactersWithSpaces>2134</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2018-10-12T02:12:00Z</dcterms:created>
  <dc:creator>xiqiang yang</dc:creator>
  <cp:lastModifiedBy>QY</cp:lastModifiedBy>
  <cp:lastPrinted>2014-04-28T01:34:00Z</cp:lastPrinted>
  <dcterms:modified xsi:type="dcterms:W3CDTF">2018-12-04T07:17:41Z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