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jc w:val="left"/>
        <w:rPr>
          <w:rFonts w:asciiTheme="minorEastAsia" w:hAnsiTheme="minorEastAsia"/>
          <w:szCs w:val="21"/>
        </w:rPr>
      </w:pPr>
      <w:r>
        <w:rPr>
          <w:rFonts w:hint="eastAsia" w:asciiTheme="minorEastAsia" w:hAnsiTheme="minorEastAsia"/>
          <w:szCs w:val="21"/>
        </w:rPr>
        <w:t>附表2</w:t>
      </w:r>
    </w:p>
    <w:p>
      <w:pPr>
        <w:spacing w:after="156" w:afterLines="50"/>
        <w:jc w:val="center"/>
        <w:rPr>
          <w:b/>
          <w:sz w:val="32"/>
          <w:szCs w:val="32"/>
        </w:rPr>
      </w:pPr>
      <w:r>
        <w:rPr>
          <w:b/>
          <w:sz w:val="32"/>
          <w:szCs w:val="32"/>
        </w:rPr>
        <w:t>课程教学大纲</w:t>
      </w:r>
    </w:p>
    <w:p>
      <w:pPr>
        <w:ind w:firstLine="1050" w:firstLineChars="500"/>
      </w:pPr>
    </w:p>
    <w:tbl>
      <w:tblPr>
        <w:tblStyle w:val="9"/>
        <w:tblW w:w="9924"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6"/>
        <w:gridCol w:w="1265"/>
        <w:gridCol w:w="1515"/>
        <w:gridCol w:w="1477"/>
        <w:gridCol w:w="618"/>
        <w:gridCol w:w="941"/>
        <w:gridCol w:w="1692"/>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9924" w:type="dxa"/>
            <w:gridSpan w:val="8"/>
            <w:shd w:val="clear" w:color="auto" w:fill="D8D8D8" w:themeFill="background1" w:themeFillShade="D9"/>
            <w:vAlign w:val="center"/>
          </w:tcPr>
          <w:p>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课程基本信息（Course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2406"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课程代码</w:t>
            </w:r>
          </w:p>
          <w:p>
            <w:pPr>
              <w:jc w:val="center"/>
              <w:rPr>
                <w:color w:val="000000" w:themeColor="text1"/>
                <w14:textFill>
                  <w14:solidFill>
                    <w14:schemeClr w14:val="tx1"/>
                  </w14:solidFill>
                </w14:textFill>
              </w:rPr>
            </w:pPr>
            <w:r>
              <w:rPr>
                <w:color w:val="000000" w:themeColor="text1"/>
                <w14:textFill>
                  <w14:solidFill>
                    <w14:schemeClr w14:val="tx1"/>
                  </w14:solidFill>
                </w14:textFill>
              </w:rPr>
              <w:t>（</w:t>
            </w:r>
            <w:r>
              <w:rPr>
                <w:rFonts w:hint="eastAsia"/>
                <w:color w:val="000000" w:themeColor="text1"/>
                <w14:textFill>
                  <w14:solidFill>
                    <w14:schemeClr w14:val="tx1"/>
                  </w14:solidFill>
                </w14:textFill>
              </w:rPr>
              <w:t>Course Code）</w:t>
            </w:r>
          </w:p>
        </w:tc>
        <w:tc>
          <w:tcPr>
            <w:tcW w:w="1265" w:type="dxa"/>
            <w:vAlign w:val="center"/>
          </w:tcPr>
          <w:p>
            <w:pPr>
              <w:rPr>
                <w:color w:val="000000" w:themeColor="text1"/>
                <w:w w:val="90"/>
                <w14:textFill>
                  <w14:solidFill>
                    <w14:schemeClr w14:val="tx1"/>
                  </w14:solidFill>
                </w14:textFill>
              </w:rPr>
            </w:pPr>
            <w:r>
              <w:rPr>
                <w:rFonts w:hint="eastAsia"/>
                <w:color w:val="000000" w:themeColor="text1"/>
                <w:w w:val="90"/>
                <w14:textFill>
                  <w14:solidFill>
                    <w14:schemeClr w14:val="tx1"/>
                  </w14:solidFill>
                </w14:textFill>
              </w:rPr>
              <w:t>PO</w:t>
            </w:r>
            <w:r>
              <w:rPr>
                <w:color w:val="000000" w:themeColor="text1"/>
                <w:w w:val="90"/>
                <w14:textFill>
                  <w14:solidFill>
                    <w14:schemeClr w14:val="tx1"/>
                  </w14:solidFill>
                </w14:textFill>
              </w:rPr>
              <w:t>034</w:t>
            </w:r>
          </w:p>
        </w:tc>
        <w:tc>
          <w:tcPr>
            <w:tcW w:w="1515"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学时</w:t>
            </w:r>
          </w:p>
          <w:p>
            <w:pPr>
              <w:jc w:val="center"/>
              <w:rPr>
                <w:color w:val="000000" w:themeColor="text1"/>
                <w:w w:val="90"/>
                <w14:textFill>
                  <w14:solidFill>
                    <w14:schemeClr w14:val="tx1"/>
                  </w14:solidFill>
                </w14:textFill>
              </w:rPr>
            </w:pPr>
            <w:r>
              <w:rPr>
                <w:color w:val="000000" w:themeColor="text1"/>
                <w:w w:val="90"/>
                <w14:textFill>
                  <w14:solidFill>
                    <w14:schemeClr w14:val="tx1"/>
                  </w14:solidFill>
                </w14:textFill>
              </w:rPr>
              <w:t>（Credit</w:t>
            </w:r>
            <w:r>
              <w:rPr>
                <w:rFonts w:hint="eastAsia"/>
                <w:color w:val="000000" w:themeColor="text1"/>
                <w:w w:val="90"/>
                <w14:textFill>
                  <w14:solidFill>
                    <w14:schemeClr w14:val="tx1"/>
                  </w14:solidFill>
                </w14:textFill>
              </w:rPr>
              <w:t xml:space="preserve"> Hours</w:t>
            </w:r>
            <w:r>
              <w:rPr>
                <w:color w:val="000000" w:themeColor="text1"/>
                <w:w w:val="90"/>
                <w14:textFill>
                  <w14:solidFill>
                    <w14:schemeClr w14:val="tx1"/>
                  </w14:solidFill>
                </w14:textFill>
              </w:rPr>
              <w:t>）</w:t>
            </w:r>
          </w:p>
        </w:tc>
        <w:tc>
          <w:tcPr>
            <w:tcW w:w="1477"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color w:val="000000" w:themeColor="text1"/>
                <w14:textFill>
                  <w14:solidFill>
                    <w14:schemeClr w14:val="tx1"/>
                  </w14:solidFill>
                </w14:textFill>
              </w:rPr>
              <w:t>6</w:t>
            </w:r>
          </w:p>
        </w:tc>
        <w:tc>
          <w:tcPr>
            <w:tcW w:w="1559" w:type="dxa"/>
            <w:gridSpan w:val="2"/>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学分</w:t>
            </w:r>
          </w:p>
          <w:p>
            <w:pPr>
              <w:jc w:val="center"/>
              <w:rPr>
                <w:color w:val="000000" w:themeColor="text1"/>
                <w14:textFill>
                  <w14:solidFill>
                    <w14:schemeClr w14:val="tx1"/>
                  </w14:solidFill>
                </w14:textFill>
              </w:rPr>
            </w:pPr>
            <w:r>
              <w:rPr>
                <w:color w:val="000000" w:themeColor="text1"/>
                <w14:textFill>
                  <w14:solidFill>
                    <w14:schemeClr w14:val="tx1"/>
                  </w14:solidFill>
                </w14:textFill>
              </w:rPr>
              <w:t>（Credits）</w:t>
            </w:r>
          </w:p>
        </w:tc>
        <w:tc>
          <w:tcPr>
            <w:tcW w:w="1702" w:type="dxa"/>
            <w:gridSpan w:val="2"/>
            <w:vAlign w:val="center"/>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2406" w:type="dxa"/>
            <w:vMerge w:val="restart"/>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课程名称</w:t>
            </w:r>
          </w:p>
          <w:p>
            <w:pPr>
              <w:jc w:val="center"/>
              <w:rPr>
                <w:color w:val="000000" w:themeColor="text1"/>
                <w14:textFill>
                  <w14:solidFill>
                    <w14:schemeClr w14:val="tx1"/>
                  </w14:solidFill>
                </w14:textFill>
              </w:rPr>
            </w:pPr>
            <w:r>
              <w:rPr>
                <w:color w:val="000000" w:themeColor="text1"/>
                <w14:textFill>
                  <w14:solidFill>
                    <w14:schemeClr w14:val="tx1"/>
                  </w14:solidFill>
                </w14:textFill>
              </w:rPr>
              <w:t>（</w:t>
            </w:r>
            <w:r>
              <w:rPr>
                <w:rFonts w:hint="eastAsia"/>
                <w:color w:val="000000" w:themeColor="text1"/>
                <w14:textFill>
                  <w14:solidFill>
                    <w14:schemeClr w14:val="tx1"/>
                  </w14:solidFill>
                </w14:textFill>
              </w:rPr>
              <w:t>Course Name）</w:t>
            </w:r>
          </w:p>
        </w:tc>
        <w:tc>
          <w:tcPr>
            <w:tcW w:w="7518" w:type="dxa"/>
            <w:gridSpan w:val="7"/>
            <w:vAlign w:val="center"/>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（中文）燃烧与污染及碳排放的控制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2406" w:type="dxa"/>
            <w:vMerge w:val="continue"/>
          </w:tcPr>
          <w:p>
            <w:pPr>
              <w:jc w:val="left"/>
              <w:rPr>
                <w:color w:val="000000" w:themeColor="text1"/>
                <w14:textFill>
                  <w14:solidFill>
                    <w14:schemeClr w14:val="tx1"/>
                  </w14:solidFill>
                </w14:textFill>
              </w:rPr>
            </w:pPr>
          </w:p>
        </w:tc>
        <w:tc>
          <w:tcPr>
            <w:tcW w:w="7518" w:type="dxa"/>
            <w:gridSpan w:val="7"/>
            <w:vAlign w:val="center"/>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（英文）</w:t>
            </w:r>
            <w:r>
              <w:rPr>
                <w:color w:val="000000" w:themeColor="text1"/>
                <w14:textFill>
                  <w14:solidFill>
                    <w14:schemeClr w14:val="tx1"/>
                  </w14:solidFill>
                </w14:textFill>
              </w:rPr>
              <w:t>Combustion Technologies to Control Pollutants and Carbon Emissions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2406"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课程性质</w:t>
            </w:r>
          </w:p>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(Course Type)</w:t>
            </w:r>
          </w:p>
        </w:tc>
        <w:tc>
          <w:tcPr>
            <w:tcW w:w="7518" w:type="dxa"/>
            <w:gridSpan w:val="7"/>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海内外学者授课课程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授课对象</w:t>
            </w:r>
          </w:p>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（Target Audience）</w:t>
            </w:r>
          </w:p>
        </w:tc>
        <w:tc>
          <w:tcPr>
            <w:tcW w:w="7518" w:type="dxa"/>
            <w:gridSpan w:val="7"/>
            <w:vAlign w:val="center"/>
          </w:tcPr>
          <w:p>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全校学生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授课语言</w:t>
            </w:r>
          </w:p>
          <w:p>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(Language of Instruction)</w:t>
            </w:r>
          </w:p>
        </w:tc>
        <w:tc>
          <w:tcPr>
            <w:tcW w:w="7518" w:type="dxa"/>
            <w:gridSpan w:val="7"/>
            <w:vAlign w:val="center"/>
          </w:tcPr>
          <w:p>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E</w:t>
            </w:r>
            <w:r>
              <w:rPr>
                <w:color w:val="000000" w:themeColor="text1"/>
                <w14:textFill>
                  <w14:solidFill>
                    <w14:schemeClr w14:val="tx1"/>
                  </w14:solidFill>
                </w14:textFill>
              </w:rPr>
              <w:t>nglish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*开课院系</w:t>
            </w:r>
          </w:p>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（School）</w:t>
            </w:r>
          </w:p>
        </w:tc>
        <w:tc>
          <w:tcPr>
            <w:tcW w:w="7518" w:type="dxa"/>
            <w:gridSpan w:val="7"/>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机动学院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先修课程</w:t>
            </w:r>
          </w:p>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（Prerequisite）</w:t>
            </w:r>
          </w:p>
        </w:tc>
        <w:tc>
          <w:tcPr>
            <w:tcW w:w="7518" w:type="dxa"/>
            <w:gridSpan w:val="7"/>
            <w:vAlign w:val="center"/>
          </w:tcPr>
          <w:p>
            <w:pPr>
              <w:jc w:val="left"/>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0" w:type="dxa"/>
        </w:trPr>
        <w:tc>
          <w:tcPr>
            <w:tcW w:w="2406"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授课教师</w:t>
            </w:r>
          </w:p>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（Instructor）</w:t>
            </w:r>
          </w:p>
        </w:tc>
        <w:tc>
          <w:tcPr>
            <w:tcW w:w="2780" w:type="dxa"/>
            <w:gridSpan w:val="2"/>
            <w:vAlign w:val="center"/>
          </w:tcPr>
          <w:p>
            <w:pPr>
              <w:jc w:val="center"/>
              <w:rPr>
                <w:color w:val="000000" w:themeColor="text1"/>
                <w14:textFill>
                  <w14:solidFill>
                    <w14:schemeClr w14:val="tx1"/>
                  </w14:solidFill>
                </w14:textFill>
              </w:rPr>
            </w:pPr>
            <w:bookmarkStart w:id="0" w:name="_GoBack"/>
            <w:r>
              <w:rPr>
                <w:color w:val="000000" w:themeColor="text1"/>
                <w14:textFill>
                  <w14:solidFill>
                    <w14:schemeClr w14:val="tx1"/>
                  </w14:solidFill>
                </w14:textFill>
              </w:rPr>
              <w:t>Robert K Cheng</w:t>
            </w:r>
            <w:bookmarkEnd w:id="0"/>
          </w:p>
        </w:tc>
        <w:tc>
          <w:tcPr>
            <w:tcW w:w="2095" w:type="dxa"/>
            <w:gridSpan w:val="2"/>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课程网址</w:t>
            </w:r>
          </w:p>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 xml:space="preserve">Course </w:t>
            </w:r>
            <w:r>
              <w:rPr>
                <w:rFonts w:hint="eastAsia"/>
                <w:color w:val="000000" w:themeColor="text1"/>
                <w14:textFill>
                  <w14:solidFill>
                    <w14:schemeClr w14:val="tx1"/>
                  </w14:solidFill>
                </w14:textFill>
              </w:rPr>
              <w:t>W</w:t>
            </w:r>
            <w:r>
              <w:rPr>
                <w:color w:val="000000" w:themeColor="text1"/>
                <w14:textFill>
                  <w14:solidFill>
                    <w14:schemeClr w14:val="tx1"/>
                  </w14:solidFill>
                </w14:textFill>
              </w:rPr>
              <w:t>ebpage</w:t>
            </w:r>
            <w:r>
              <w:rPr>
                <w:rFonts w:hint="eastAsia"/>
                <w:color w:val="000000" w:themeColor="text1"/>
                <w14:textFill>
                  <w14:solidFill>
                    <w14:schemeClr w14:val="tx1"/>
                  </w14:solidFill>
                </w14:textFill>
              </w:rPr>
              <w:t>)</w:t>
            </w:r>
          </w:p>
        </w:tc>
        <w:tc>
          <w:tcPr>
            <w:tcW w:w="2633" w:type="dxa"/>
            <w:gridSpan w:val="2"/>
            <w:vAlign w:val="center"/>
          </w:tcPr>
          <w:p>
            <w:pPr>
              <w:jc w:val="center"/>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8" w:hRule="atLeast"/>
        </w:trPr>
        <w:tc>
          <w:tcPr>
            <w:tcW w:w="2406"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*课程简介</w:t>
            </w:r>
            <w:r>
              <w:rPr>
                <w:rFonts w:hint="eastAsia"/>
                <w:color w:val="000000" w:themeColor="text1"/>
                <w:w w:val="90"/>
                <w14:textFill>
                  <w14:solidFill>
                    <w14:schemeClr w14:val="tx1"/>
                  </w14:solidFill>
                </w14:textFill>
              </w:rPr>
              <w:t>（Description）</w:t>
            </w:r>
          </w:p>
        </w:tc>
        <w:tc>
          <w:tcPr>
            <w:tcW w:w="7518" w:type="dxa"/>
            <w:gridSpan w:val="7"/>
            <w:vAlign w:val="center"/>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尽管太阳能，风能和水电等可再生能源得到快速发展，燃烧化石燃料和可再生能源燃料的热力装置仍将是全球能源供应的主力。在过去40多年，大家都是针对化石燃料的低污染燃烧理论及技术开展研究。近年来，全球对热力装置低碳排放的要求提到日程，要求尽快掌握燃料燃烧与碳排放间的特性关系。本课程通过讲述先进燃烧技术相关的基本概念及理论，使得学生可以了解清洁燃烧技术对污染物排放抑制的作用原理，掌握不同碳排量下燃料系统的切换方法，介绍美国在燃料多适应性方面的研究进展，为今后学生开展高效、低污染热力装置的设计提供帮助。为此，学生将会了解燃烧理论相关的以下基本知识：湍流火焰传播、湍流燃烧速度、火焰内部湍流作用影响、先进低排放燃烧技术以及碳排放与燃料燃烧特性关系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3" w:hRule="atLeast"/>
        </w:trPr>
        <w:tc>
          <w:tcPr>
            <w:tcW w:w="2406" w:type="dxa"/>
            <w:tcBorders>
              <w:bottom w:val="single" w:color="auto" w:sz="4" w:space="0"/>
            </w:tcBorders>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*课程简介</w:t>
            </w:r>
            <w:r>
              <w:rPr>
                <w:rFonts w:hint="eastAsia"/>
                <w:color w:val="000000" w:themeColor="text1"/>
                <w:w w:val="90"/>
                <w14:textFill>
                  <w14:solidFill>
                    <w14:schemeClr w14:val="tx1"/>
                  </w14:solidFill>
                </w14:textFill>
              </w:rPr>
              <w:t>（Description）</w:t>
            </w:r>
          </w:p>
        </w:tc>
        <w:tc>
          <w:tcPr>
            <w:tcW w:w="7518" w:type="dxa"/>
            <w:gridSpan w:val="7"/>
            <w:tcBorders>
              <w:bottom w:val="single" w:color="auto" w:sz="4" w:space="0"/>
            </w:tcBorders>
            <w:vAlign w:val="center"/>
          </w:tcPr>
          <w:p>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Despite advances in renewable energies such as solar、wind, and hydro-electricity, combustion device burning fossil fuels or fuels derived from renewable sources will remain an important technology to supply energy worldwide. For the pass forty years, much </w:t>
            </w:r>
            <w:r>
              <w:rPr>
                <w:color w:val="000000" w:themeColor="text1"/>
                <w14:textFill>
                  <w14:solidFill>
                    <w14:schemeClr w14:val="tx1"/>
                  </w14:solidFill>
                </w14:textFill>
              </w:rPr>
              <w:t xml:space="preserve">progress has been made in development of combustion technologies to reduce the emissions of pollutants from combustion devices that burn fossil fuels. To reduce the carbon emissions from these combustion devices, however, would require them to burn different types of non-traditional fuels derived from different sources such as plants and wastes. Another important strategy to reduce carbon emissions is to increase the system efficiencies. However, most combustion devices are designed for specific fuel types. Therefore, developments of fuel-flexible, ultra-low emissions and highly efficient combustion devise require deeper understanding of basic flame properties. </w:t>
            </w:r>
          </w:p>
          <w:p>
            <w:pPr>
              <w:jc w:val="left"/>
              <w:rPr>
                <w:rFonts w:hint="eastAsia"/>
                <w:color w:val="000000" w:themeColor="text1"/>
                <w14:textFill>
                  <w14:solidFill>
                    <w14:schemeClr w14:val="tx1"/>
                  </w14:solidFill>
                </w14:textFill>
              </w:rPr>
            </w:pPr>
            <w:r>
              <w:rPr>
                <w:color w:val="000000" w:themeColor="text1"/>
                <w14:textFill>
                  <w14:solidFill>
                    <w14:schemeClr w14:val="tx1"/>
                  </w14:solidFill>
                </w14:textFill>
              </w:rPr>
              <w:t>The course will start by an overview of the basic engineering designs of combustion devices such as automobiles, boilers, gas turbines and jet engines. The differences in the modes of combustion will also be explained. This will be followed by lectures on the concept of lean burn to control the emissions of pollutants. Background scientific model of lean laminar and turbulent flames will be reviewed. The course will conclude by an overview of developments of fuel-flexible combustion systems in the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9924" w:type="dxa"/>
            <w:gridSpan w:val="8"/>
            <w:shd w:val="clear" w:color="auto" w:fill="D8D8D8" w:themeFill="background1" w:themeFillShade="D9"/>
            <w:vAlign w:val="center"/>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课程教学大纲（C</w:t>
            </w:r>
            <w:r>
              <w:rPr>
                <w:color w:val="000000" w:themeColor="text1"/>
                <w14:textFill>
                  <w14:solidFill>
                    <w14:schemeClr w14:val="tx1"/>
                  </w14:solidFill>
                </w14:textFill>
              </w:rPr>
              <w:t xml:space="preserve">ourse </w:t>
            </w:r>
            <w:r>
              <w:rPr>
                <w:rFonts w:hint="eastAsia"/>
                <w:color w:val="000000" w:themeColor="text1"/>
                <w14:textFill>
                  <w14:solidFill>
                    <w14:schemeClr w14:val="tx1"/>
                  </w14:solidFill>
                </w14:textFill>
              </w:rPr>
              <w:t>S</w:t>
            </w:r>
            <w:r>
              <w:rPr>
                <w:color w:val="000000" w:themeColor="text1"/>
                <w14:textFill>
                  <w14:solidFill>
                    <w14:schemeClr w14:val="tx1"/>
                  </w14:solidFill>
                </w14:textFill>
              </w:rPr>
              <w:t>yllabus</w:t>
            </w:r>
            <w:r>
              <w:rPr>
                <w:rFonts w:hint="eastAsia"/>
                <w:color w:val="000000" w:themeColor="text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3" w:hRule="atLeast"/>
        </w:trPr>
        <w:tc>
          <w:tcPr>
            <w:tcW w:w="2406" w:type="dxa"/>
            <w:vAlign w:val="center"/>
          </w:tcPr>
          <w:p>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*学习目标</w:t>
            </w:r>
          </w:p>
          <w:p>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(Learning Outcomes)</w:t>
            </w:r>
          </w:p>
        </w:tc>
        <w:tc>
          <w:tcPr>
            <w:tcW w:w="7518" w:type="dxa"/>
            <w:gridSpan w:val="7"/>
            <w:vAlign w:val="center"/>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rFonts w:ascii="Arial" w:hAnsi="Arial" w:cs="Arial"/>
                <w:color w:val="000000" w:themeColor="text1"/>
                <w:sz w:val="20"/>
                <w:szCs w:val="20"/>
                <w14:textFill>
                  <w14:solidFill>
                    <w14:schemeClr w14:val="tx1"/>
                  </w14:solidFill>
                </w14:textFill>
              </w:rPr>
              <w:t>Understand the ongoing role of combustion, both of fossil and bio-fuels, in providing a more sustainable energy source for society, and the environmental challenges to be met to achieve this.</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rFonts w:ascii="Arial" w:hAnsi="Arial" w:cs="Arial"/>
                <w:color w:val="000000" w:themeColor="text1"/>
                <w:sz w:val="20"/>
                <w:szCs w:val="20"/>
                <w14:textFill>
                  <w14:solidFill>
                    <w14:schemeClr w14:val="tx1"/>
                  </w14:solidFill>
                </w14:textFill>
              </w:rPr>
              <w:t>Understand the complexities of industrial combustion processes,</w:t>
            </w:r>
          </w:p>
          <w:p>
            <w:pPr>
              <w:rPr>
                <w:rFonts w:ascii="Arial" w:hAnsi="Arial" w:cs="Arial"/>
                <w:color w:val="000000" w:themeColor="text1"/>
                <w:sz w:val="20"/>
                <w:szCs w:val="20"/>
                <w14:textFill>
                  <w14:solidFill>
                    <w14:schemeClr w14:val="tx1"/>
                  </w14:solidFill>
                </w14:textFill>
              </w:rPr>
            </w:pPr>
            <w:r>
              <w:rPr>
                <w:rFonts w:hint="eastAsia" w:ascii="Arial" w:hAnsi="Arial" w:cs="Arial"/>
                <w:color w:val="000000" w:themeColor="text1"/>
                <w:sz w:val="20"/>
                <w:szCs w:val="20"/>
                <w14:textFill>
                  <w14:solidFill>
                    <w14:schemeClr w14:val="tx1"/>
                  </w14:solidFill>
                </w14:textFill>
              </w:rPr>
              <w:t>3．</w:t>
            </w:r>
            <w:r>
              <w:rPr>
                <w:rFonts w:ascii="Arial" w:hAnsi="Arial" w:cs="Arial"/>
                <w:color w:val="000000" w:themeColor="text1"/>
                <w:sz w:val="20"/>
                <w:szCs w:val="20"/>
                <w14:textFill>
                  <w14:solidFill>
                    <w14:schemeClr w14:val="tx1"/>
                  </w14:solidFill>
                </w14:textFill>
              </w:rPr>
              <w:t>Have a sound understanding of the principles of combustion</w:t>
            </w:r>
          </w:p>
          <w:p>
            <w:pPr>
              <w:rPr>
                <w:rFonts w:ascii="Arial" w:hAnsi="Arial" w:cs="Arial"/>
                <w:color w:val="000000" w:themeColor="text1"/>
                <w:sz w:val="20"/>
                <w:szCs w:val="20"/>
                <w14:textFill>
                  <w14:solidFill>
                    <w14:schemeClr w14:val="tx1"/>
                  </w14:solidFill>
                </w14:textFill>
              </w:rPr>
            </w:pPr>
            <w:r>
              <w:rPr>
                <w:rFonts w:hint="eastAsia" w:ascii="Arial" w:hAnsi="Arial" w:cs="Arial"/>
                <w:color w:val="000000" w:themeColor="text1"/>
                <w:sz w:val="20"/>
                <w:szCs w:val="20"/>
                <w14:textFill>
                  <w14:solidFill>
                    <w14:schemeClr w14:val="tx1"/>
                  </w14:solidFill>
                </w14:textFill>
              </w:rPr>
              <w:t>4．</w:t>
            </w:r>
            <w:r>
              <w:rPr>
                <w:rFonts w:ascii="Arial" w:hAnsi="Arial" w:cs="Arial"/>
                <w:color w:val="000000" w:themeColor="text1"/>
                <w:sz w:val="20"/>
                <w:szCs w:val="20"/>
                <w14:textFill>
                  <w14:solidFill>
                    <w14:schemeClr w14:val="tx1"/>
                  </w14:solidFill>
                </w14:textFill>
              </w:rPr>
              <w:t>Have a basic understanding of the mechanisms of combustion generated air pollution and the techniques that can be used to control them</w:t>
            </w:r>
            <w:r>
              <w:rPr>
                <w:rFonts w:hint="eastAsia" w:ascii="Arial" w:hAnsi="Arial" w:cs="Arial"/>
                <w:color w:val="000000" w:themeColor="text1"/>
                <w:sz w:val="20"/>
                <w:szCs w:val="20"/>
                <w14:textFill>
                  <w14:solidFill>
                    <w14:schemeClr w14:val="tx1"/>
                  </w14:solidFill>
                </w14:textFill>
              </w:rPr>
              <w:t>。</w:t>
            </w:r>
          </w:p>
          <w:p>
            <w:pPr>
              <w:rPr>
                <w:rFonts w:hint="eastAsia" w:ascii="Arial" w:hAnsi="Arial" w:cs="Arial"/>
                <w:color w:val="000000" w:themeColor="text1"/>
                <w:sz w:val="20"/>
                <w:szCs w:val="20"/>
                <w14:textFill>
                  <w14:solidFill>
                    <w14:schemeClr w14:val="tx1"/>
                  </w14:solidFill>
                </w14:textFill>
              </w:rPr>
            </w:pP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注：须根据课程性质，着重描述课程教学在培养学生知识、能力、素质等方面的贡献，是课程目标的细化，专业培养计划内课程必须与专业培养目标具体贡献点相对应，并在描述语句后注明对应目标体系的代码，举例如下；其他类型课程请根据课程实施情况从三方面描述。）</w:t>
            </w:r>
          </w:p>
          <w:p>
            <w:pPr>
              <w:pStyle w:val="10"/>
              <w:numPr>
                <w:ilvl w:val="0"/>
                <w:numId w:val="1"/>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了解并认识工程与科学的关系（A3）</w:t>
            </w:r>
          </w:p>
          <w:p>
            <w:pPr>
              <w:pStyle w:val="10"/>
              <w:numPr>
                <w:ilvl w:val="0"/>
                <w:numId w:val="1"/>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了解工程设计的基本概念和一般流程（A5.1，A5.4）</w:t>
            </w:r>
          </w:p>
          <w:p>
            <w:pPr>
              <w:pStyle w:val="10"/>
              <w:numPr>
                <w:ilvl w:val="0"/>
                <w:numId w:val="1"/>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通过课程项目的实践，培育认识和发现问题的能力（B2，C2）和团队协作解决工程问题的能力（A5.3，B3，C1）</w:t>
            </w:r>
          </w:p>
          <w:p>
            <w:pPr>
              <w:rPr>
                <w:color w:val="000000" w:themeColor="text1"/>
                <w14:textFill>
                  <w14:solidFill>
                    <w14:schemeClr w14:val="tx1"/>
                  </w14:solidFill>
                </w14:textFill>
              </w:rPr>
            </w:pPr>
            <w:r>
              <w:rPr>
                <w:color w:val="000000" w:themeColor="text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spacing w:line="46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*教学内容</w:t>
            </w:r>
          </w:p>
          <w:p>
            <w:pPr>
              <w:spacing w:line="46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进度安排及要求</w:t>
            </w:r>
          </w:p>
          <w:p>
            <w:pPr>
              <w:spacing w:line="46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Class Schedule</w:t>
            </w:r>
            <w:r>
              <w:rPr>
                <w:rFonts w:hint="eastAsia"/>
                <w:color w:val="000000" w:themeColor="text1"/>
                <w14:textFill>
                  <w14:solidFill>
                    <w14:schemeClr w14:val="tx1"/>
                  </w14:solidFill>
                </w14:textFill>
              </w:rPr>
              <w:t xml:space="preserve"> &amp; </w:t>
            </w:r>
            <w:r>
              <w:rPr>
                <w:color w:val="000000" w:themeColor="text1"/>
                <w14:textFill>
                  <w14:solidFill>
                    <w14:schemeClr w14:val="tx1"/>
                  </w14:solidFill>
                </w14:textFill>
              </w:rPr>
              <w:t>Requirements</w:t>
            </w:r>
            <w:r>
              <w:rPr>
                <w:rFonts w:hint="eastAsia"/>
                <w:color w:val="000000" w:themeColor="text1"/>
                <w14:textFill>
                  <w14:solidFill>
                    <w14:schemeClr w14:val="tx1"/>
                  </w14:solidFill>
                </w14:textFill>
              </w:rPr>
              <w:t>)</w:t>
            </w:r>
          </w:p>
        </w:tc>
        <w:tc>
          <w:tcPr>
            <w:tcW w:w="7518" w:type="dxa"/>
            <w:gridSpan w:val="7"/>
            <w:vAlign w:val="center"/>
          </w:tcPr>
          <w:tbl>
            <w:tblPr>
              <w:tblStyle w:val="9"/>
              <w:tblW w:w="7269"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816"/>
              <w:gridCol w:w="1334"/>
              <w:gridCol w:w="1355"/>
              <w:gridCol w:w="1146"/>
              <w:gridCol w:w="1162"/>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456" w:type="dxa"/>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教学内容</w:t>
                  </w:r>
                </w:p>
              </w:tc>
              <w:tc>
                <w:tcPr>
                  <w:tcW w:w="816" w:type="dxa"/>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学时</w:t>
                  </w:r>
                </w:p>
              </w:tc>
              <w:tc>
                <w:tcPr>
                  <w:tcW w:w="1334" w:type="dxa"/>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教学方式</w:t>
                  </w:r>
                </w:p>
              </w:tc>
              <w:tc>
                <w:tcPr>
                  <w:tcW w:w="1355" w:type="dxa"/>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作业及要求</w:t>
                  </w:r>
                </w:p>
              </w:tc>
              <w:tc>
                <w:tcPr>
                  <w:tcW w:w="1146"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基本要求</w:t>
                  </w:r>
                </w:p>
              </w:tc>
              <w:tc>
                <w:tcPr>
                  <w:tcW w:w="1162" w:type="dxa"/>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考查方式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1456" w:type="dxa"/>
                  <w:vAlign w:val="center"/>
                </w:tcPr>
                <w:p>
                  <w:pPr>
                    <w:jc w:val="center"/>
                    <w:rPr>
                      <w:color w:val="000000" w:themeColor="text1"/>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低污染燃烧技术在工程中的应用及主要技术挑战</w:t>
                  </w:r>
                </w:p>
              </w:tc>
              <w:tc>
                <w:tcPr>
                  <w:tcW w:w="816"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334" w:type="dxa"/>
                  <w:vAlign w:val="center"/>
                </w:tcPr>
                <w:p>
                  <w:pPr>
                    <w:jc w:val="center"/>
                    <w:rPr>
                      <w:color w:val="000000" w:themeColor="text1"/>
                      <w14:textFill>
                        <w14:solidFill>
                          <w14:schemeClr w14:val="tx1"/>
                        </w14:solidFill>
                      </w14:textFill>
                    </w:rPr>
                  </w:pPr>
                  <w:r>
                    <w:rPr>
                      <w:rFonts w:hint="eastAsia"/>
                      <w:color w:val="000000" w:themeColor="text1"/>
                      <w:sz w:val="24"/>
                      <w14:textFill>
                        <w14:solidFill>
                          <w14:schemeClr w14:val="tx1"/>
                        </w14:solidFill>
                      </w14:textFill>
                    </w:rPr>
                    <w:t>课堂讲学</w:t>
                  </w:r>
                </w:p>
              </w:tc>
              <w:tc>
                <w:tcPr>
                  <w:tcW w:w="1355"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掌握课堂知识点</w:t>
                  </w:r>
                </w:p>
              </w:tc>
              <w:tc>
                <w:tcPr>
                  <w:tcW w:w="1146"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课后复习</w:t>
                  </w:r>
                </w:p>
              </w:tc>
              <w:tc>
                <w:tcPr>
                  <w:tcW w:w="1162"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课堂提问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1456" w:type="dxa"/>
                  <w:vAlign w:val="center"/>
                </w:tcPr>
                <w:p>
                  <w:pPr>
                    <w:jc w:val="center"/>
                    <w:rPr>
                      <w:color w:val="000000" w:themeColor="text1"/>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预混燃烧火焰与非预混燃烧火焰的对比</w:t>
                  </w:r>
                </w:p>
              </w:tc>
              <w:tc>
                <w:tcPr>
                  <w:tcW w:w="816"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1334" w:type="dxa"/>
                  <w:vAlign w:val="center"/>
                </w:tcPr>
                <w:p>
                  <w:pPr>
                    <w:jc w:val="center"/>
                    <w:rPr>
                      <w:color w:val="000000" w:themeColor="text1"/>
                      <w14:textFill>
                        <w14:solidFill>
                          <w14:schemeClr w14:val="tx1"/>
                        </w14:solidFill>
                      </w14:textFill>
                    </w:rPr>
                  </w:pPr>
                  <w:r>
                    <w:rPr>
                      <w:rFonts w:hint="eastAsia"/>
                      <w:color w:val="000000" w:themeColor="text1"/>
                      <w:sz w:val="24"/>
                      <w14:textFill>
                        <w14:solidFill>
                          <w14:schemeClr w14:val="tx1"/>
                        </w14:solidFill>
                      </w14:textFill>
                    </w:rPr>
                    <w:t>课堂讲学</w:t>
                  </w:r>
                </w:p>
              </w:tc>
              <w:tc>
                <w:tcPr>
                  <w:tcW w:w="1355"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掌握课堂知识点</w:t>
                  </w:r>
                </w:p>
              </w:tc>
              <w:tc>
                <w:tcPr>
                  <w:tcW w:w="1146"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课后复习</w:t>
                  </w:r>
                </w:p>
              </w:tc>
              <w:tc>
                <w:tcPr>
                  <w:tcW w:w="1162"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课堂提问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456" w:type="dxa"/>
                  <w:vAlign w:val="center"/>
                </w:tcPr>
                <w:p>
                  <w:pPr>
                    <w:jc w:val="center"/>
                    <w:rPr>
                      <w:color w:val="000000" w:themeColor="text1"/>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动力装置中的燃烧稳定方式介绍</w:t>
                  </w:r>
                </w:p>
              </w:tc>
              <w:tc>
                <w:tcPr>
                  <w:tcW w:w="816"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1334" w:type="dxa"/>
                  <w:vAlign w:val="center"/>
                </w:tcPr>
                <w:p>
                  <w:pPr>
                    <w:jc w:val="center"/>
                    <w:rPr>
                      <w:color w:val="000000" w:themeColor="text1"/>
                      <w14:textFill>
                        <w14:solidFill>
                          <w14:schemeClr w14:val="tx1"/>
                        </w14:solidFill>
                      </w14:textFill>
                    </w:rPr>
                  </w:pPr>
                  <w:r>
                    <w:rPr>
                      <w:rFonts w:hint="eastAsia"/>
                      <w:color w:val="000000" w:themeColor="text1"/>
                      <w:sz w:val="24"/>
                      <w14:textFill>
                        <w14:solidFill>
                          <w14:schemeClr w14:val="tx1"/>
                        </w14:solidFill>
                      </w14:textFill>
                    </w:rPr>
                    <w:t>课堂讲学</w:t>
                  </w:r>
                </w:p>
              </w:tc>
              <w:tc>
                <w:tcPr>
                  <w:tcW w:w="1355"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掌握课堂知识点</w:t>
                  </w:r>
                </w:p>
              </w:tc>
              <w:tc>
                <w:tcPr>
                  <w:tcW w:w="1146"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课后复习</w:t>
                  </w:r>
                </w:p>
              </w:tc>
              <w:tc>
                <w:tcPr>
                  <w:tcW w:w="1162"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课堂提问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1456" w:type="dxa"/>
                  <w:vAlign w:val="center"/>
                </w:tcPr>
                <w:p>
                  <w:pPr>
                    <w:jc w:val="center"/>
                    <w:rPr>
                      <w:color w:val="000000" w:themeColor="text1"/>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预混湍流燃烧理论</w:t>
                  </w:r>
                </w:p>
              </w:tc>
              <w:tc>
                <w:tcPr>
                  <w:tcW w:w="816"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1334" w:type="dxa"/>
                  <w:vAlign w:val="center"/>
                </w:tcPr>
                <w:p>
                  <w:pPr>
                    <w:jc w:val="center"/>
                    <w:rPr>
                      <w:color w:val="000000" w:themeColor="text1"/>
                      <w14:textFill>
                        <w14:solidFill>
                          <w14:schemeClr w14:val="tx1"/>
                        </w14:solidFill>
                      </w14:textFill>
                    </w:rPr>
                  </w:pPr>
                  <w:r>
                    <w:rPr>
                      <w:rFonts w:hint="eastAsia"/>
                      <w:color w:val="000000" w:themeColor="text1"/>
                      <w:sz w:val="24"/>
                      <w14:textFill>
                        <w14:solidFill>
                          <w14:schemeClr w14:val="tx1"/>
                        </w14:solidFill>
                      </w14:textFill>
                    </w:rPr>
                    <w:t>课堂讲学</w:t>
                  </w:r>
                </w:p>
              </w:tc>
              <w:tc>
                <w:tcPr>
                  <w:tcW w:w="1355"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掌握课堂知识点</w:t>
                  </w:r>
                </w:p>
              </w:tc>
              <w:tc>
                <w:tcPr>
                  <w:tcW w:w="1146"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课后复习</w:t>
                  </w:r>
                </w:p>
              </w:tc>
              <w:tc>
                <w:tcPr>
                  <w:tcW w:w="1162"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课堂提问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trPr>
              <w:tc>
                <w:tcPr>
                  <w:tcW w:w="1456" w:type="dxa"/>
                  <w:vAlign w:val="center"/>
                </w:tcPr>
                <w:p>
                  <w:pPr>
                    <w:jc w:val="center"/>
                    <w:rPr>
                      <w:color w:val="000000" w:themeColor="text1"/>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湍流预混火焰模型的实验研究</w:t>
                  </w:r>
                </w:p>
              </w:tc>
              <w:tc>
                <w:tcPr>
                  <w:tcW w:w="816"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1334" w:type="dxa"/>
                  <w:vAlign w:val="center"/>
                </w:tcPr>
                <w:p>
                  <w:pPr>
                    <w:jc w:val="center"/>
                    <w:rPr>
                      <w:color w:val="000000" w:themeColor="text1"/>
                      <w14:textFill>
                        <w14:solidFill>
                          <w14:schemeClr w14:val="tx1"/>
                        </w14:solidFill>
                      </w14:textFill>
                    </w:rPr>
                  </w:pPr>
                  <w:r>
                    <w:rPr>
                      <w:rFonts w:hint="eastAsia"/>
                      <w:color w:val="000000" w:themeColor="text1"/>
                      <w:sz w:val="24"/>
                      <w14:textFill>
                        <w14:solidFill>
                          <w14:schemeClr w14:val="tx1"/>
                        </w14:solidFill>
                      </w14:textFill>
                    </w:rPr>
                    <w:t>课堂讲学</w:t>
                  </w:r>
                </w:p>
              </w:tc>
              <w:tc>
                <w:tcPr>
                  <w:tcW w:w="1355"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掌握课堂知识点</w:t>
                  </w:r>
                </w:p>
              </w:tc>
              <w:tc>
                <w:tcPr>
                  <w:tcW w:w="1146"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课后复习</w:t>
                  </w:r>
                </w:p>
              </w:tc>
              <w:tc>
                <w:tcPr>
                  <w:tcW w:w="1162"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课堂提问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456" w:type="dxa"/>
                  <w:vAlign w:val="center"/>
                </w:tcPr>
                <w:p>
                  <w:pPr>
                    <w:jc w:val="center"/>
                    <w:rPr>
                      <w:color w:val="000000" w:themeColor="text1"/>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湍流火焰传播速度</w:t>
                  </w:r>
                </w:p>
              </w:tc>
              <w:tc>
                <w:tcPr>
                  <w:tcW w:w="816"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1334" w:type="dxa"/>
                  <w:vAlign w:val="center"/>
                </w:tcPr>
                <w:p>
                  <w:pPr>
                    <w:jc w:val="center"/>
                    <w:rPr>
                      <w:color w:val="000000" w:themeColor="text1"/>
                      <w14:textFill>
                        <w14:solidFill>
                          <w14:schemeClr w14:val="tx1"/>
                        </w14:solidFill>
                      </w14:textFill>
                    </w:rPr>
                  </w:pPr>
                  <w:r>
                    <w:rPr>
                      <w:rFonts w:hint="eastAsia"/>
                      <w:color w:val="000000" w:themeColor="text1"/>
                      <w:sz w:val="24"/>
                      <w14:textFill>
                        <w14:solidFill>
                          <w14:schemeClr w14:val="tx1"/>
                        </w14:solidFill>
                      </w14:textFill>
                    </w:rPr>
                    <w:t>课堂讲学</w:t>
                  </w:r>
                </w:p>
              </w:tc>
              <w:tc>
                <w:tcPr>
                  <w:tcW w:w="1355"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掌握课堂知识点</w:t>
                  </w:r>
                </w:p>
              </w:tc>
              <w:tc>
                <w:tcPr>
                  <w:tcW w:w="1146"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课后复习</w:t>
                  </w:r>
                </w:p>
              </w:tc>
              <w:tc>
                <w:tcPr>
                  <w:tcW w:w="1162"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课堂提问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trPr>
              <w:tc>
                <w:tcPr>
                  <w:tcW w:w="1456" w:type="dxa"/>
                  <w:vAlign w:val="center"/>
                </w:tcPr>
                <w:p>
                  <w:pPr>
                    <w:jc w:val="center"/>
                    <w:rPr>
                      <w:color w:val="000000" w:themeColor="text1"/>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火焰的扰动及振荡</w:t>
                  </w:r>
                </w:p>
              </w:tc>
              <w:tc>
                <w:tcPr>
                  <w:tcW w:w="816"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1334" w:type="dxa"/>
                  <w:vAlign w:val="center"/>
                </w:tcPr>
                <w:p>
                  <w:pPr>
                    <w:jc w:val="center"/>
                    <w:rPr>
                      <w:color w:val="000000" w:themeColor="text1"/>
                      <w14:textFill>
                        <w14:solidFill>
                          <w14:schemeClr w14:val="tx1"/>
                        </w14:solidFill>
                      </w14:textFill>
                    </w:rPr>
                  </w:pPr>
                  <w:r>
                    <w:rPr>
                      <w:rFonts w:hint="eastAsia"/>
                      <w:color w:val="000000" w:themeColor="text1"/>
                      <w:sz w:val="24"/>
                      <w14:textFill>
                        <w14:solidFill>
                          <w14:schemeClr w14:val="tx1"/>
                        </w14:solidFill>
                      </w14:textFill>
                    </w:rPr>
                    <w:t>课堂讲学</w:t>
                  </w:r>
                </w:p>
              </w:tc>
              <w:tc>
                <w:tcPr>
                  <w:tcW w:w="1355"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掌握课堂知识点</w:t>
                  </w:r>
                </w:p>
              </w:tc>
              <w:tc>
                <w:tcPr>
                  <w:tcW w:w="1146"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课后复习</w:t>
                  </w:r>
                </w:p>
              </w:tc>
              <w:tc>
                <w:tcPr>
                  <w:tcW w:w="1162"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课堂提问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trPr>
              <w:tc>
                <w:tcPr>
                  <w:tcW w:w="1456" w:type="dxa"/>
                  <w:vAlign w:val="center"/>
                </w:tcPr>
                <w:p>
                  <w:pPr>
                    <w:jc w:val="center"/>
                    <w:rPr>
                      <w:color w:val="000000" w:themeColor="text1"/>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火焰结构及燃烧速度模型</w:t>
                  </w:r>
                </w:p>
              </w:tc>
              <w:tc>
                <w:tcPr>
                  <w:tcW w:w="816"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1334" w:type="dxa"/>
                  <w:vAlign w:val="center"/>
                </w:tcPr>
                <w:p>
                  <w:pPr>
                    <w:jc w:val="center"/>
                    <w:rPr>
                      <w:color w:val="000000" w:themeColor="text1"/>
                      <w14:textFill>
                        <w14:solidFill>
                          <w14:schemeClr w14:val="tx1"/>
                        </w14:solidFill>
                      </w14:textFill>
                    </w:rPr>
                  </w:pPr>
                  <w:r>
                    <w:rPr>
                      <w:rFonts w:hint="eastAsia"/>
                      <w:color w:val="000000" w:themeColor="text1"/>
                      <w:sz w:val="24"/>
                      <w14:textFill>
                        <w14:solidFill>
                          <w14:schemeClr w14:val="tx1"/>
                        </w14:solidFill>
                      </w14:textFill>
                    </w:rPr>
                    <w:t>课堂讲学</w:t>
                  </w:r>
                </w:p>
              </w:tc>
              <w:tc>
                <w:tcPr>
                  <w:tcW w:w="1355"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掌握课堂知识点</w:t>
                  </w:r>
                </w:p>
              </w:tc>
              <w:tc>
                <w:tcPr>
                  <w:tcW w:w="1146"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课后复习</w:t>
                  </w:r>
                </w:p>
              </w:tc>
              <w:tc>
                <w:tcPr>
                  <w:tcW w:w="1162"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课堂提问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trPr>
              <w:tc>
                <w:tcPr>
                  <w:tcW w:w="1456" w:type="dxa"/>
                  <w:vAlign w:val="center"/>
                </w:tcPr>
                <w:p>
                  <w:pPr>
                    <w:jc w:val="center"/>
                    <w:rPr>
                      <w:color w:val="000000" w:themeColor="text1"/>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燃料变化对燃烧室的影响</w:t>
                  </w:r>
                </w:p>
              </w:tc>
              <w:tc>
                <w:tcPr>
                  <w:tcW w:w="816"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334" w:type="dxa"/>
                  <w:vAlign w:val="center"/>
                </w:tcPr>
                <w:p>
                  <w:pPr>
                    <w:jc w:val="center"/>
                    <w:rPr>
                      <w:color w:val="000000" w:themeColor="text1"/>
                      <w14:textFill>
                        <w14:solidFill>
                          <w14:schemeClr w14:val="tx1"/>
                        </w14:solidFill>
                      </w14:textFill>
                    </w:rPr>
                  </w:pPr>
                  <w:r>
                    <w:rPr>
                      <w:rFonts w:hint="eastAsia"/>
                      <w:color w:val="000000" w:themeColor="text1"/>
                      <w:sz w:val="24"/>
                      <w14:textFill>
                        <w14:solidFill>
                          <w14:schemeClr w14:val="tx1"/>
                        </w14:solidFill>
                      </w14:textFill>
                    </w:rPr>
                    <w:t>课堂讲学</w:t>
                  </w:r>
                </w:p>
              </w:tc>
              <w:tc>
                <w:tcPr>
                  <w:tcW w:w="1355"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掌握课堂知识点</w:t>
                  </w:r>
                </w:p>
              </w:tc>
              <w:tc>
                <w:tcPr>
                  <w:tcW w:w="1146"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课后复习</w:t>
                  </w:r>
                </w:p>
              </w:tc>
              <w:tc>
                <w:tcPr>
                  <w:tcW w:w="1162"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课堂提问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1456" w:type="dxa"/>
                  <w:vAlign w:val="center"/>
                </w:tcPr>
                <w:p>
                  <w:pPr>
                    <w:jc w:val="center"/>
                    <w:rPr>
                      <w:color w:val="000000" w:themeColor="text1"/>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燃烧与</w:t>
                  </w:r>
                  <w:r>
                    <w:rPr>
                      <w:rFonts w:ascii="仿宋_GB2312" w:hAnsi="宋体" w:eastAsia="仿宋_GB2312"/>
                      <w:color w:val="000000" w:themeColor="text1"/>
                      <w:sz w:val="24"/>
                      <w14:textFill>
                        <w14:solidFill>
                          <w14:schemeClr w14:val="tx1"/>
                        </w14:solidFill>
                      </w14:textFill>
                    </w:rPr>
                    <w:t>污染物及碳排放的关系</w:t>
                  </w:r>
                </w:p>
              </w:tc>
              <w:tc>
                <w:tcPr>
                  <w:tcW w:w="816"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334" w:type="dxa"/>
                  <w:vAlign w:val="center"/>
                </w:tcPr>
                <w:p>
                  <w:pPr>
                    <w:jc w:val="center"/>
                    <w:rPr>
                      <w:color w:val="000000" w:themeColor="text1"/>
                      <w14:textFill>
                        <w14:solidFill>
                          <w14:schemeClr w14:val="tx1"/>
                        </w14:solidFill>
                      </w14:textFill>
                    </w:rPr>
                  </w:pPr>
                  <w:r>
                    <w:rPr>
                      <w:rFonts w:hint="eastAsia"/>
                      <w:color w:val="000000" w:themeColor="text1"/>
                      <w:sz w:val="24"/>
                      <w14:textFill>
                        <w14:solidFill>
                          <w14:schemeClr w14:val="tx1"/>
                        </w14:solidFill>
                      </w14:textFill>
                    </w:rPr>
                    <w:t>课堂讲学</w:t>
                  </w:r>
                </w:p>
              </w:tc>
              <w:tc>
                <w:tcPr>
                  <w:tcW w:w="1355"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掌握课堂知识点</w:t>
                  </w:r>
                </w:p>
              </w:tc>
              <w:tc>
                <w:tcPr>
                  <w:tcW w:w="1146"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课后复习</w:t>
                  </w:r>
                </w:p>
              </w:tc>
              <w:tc>
                <w:tcPr>
                  <w:tcW w:w="1162"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课堂提问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1456"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w:t>
                  </w:r>
                </w:p>
              </w:tc>
              <w:tc>
                <w:tcPr>
                  <w:tcW w:w="816" w:type="dxa"/>
                  <w:vAlign w:val="center"/>
                </w:tcPr>
                <w:p>
                  <w:pPr>
                    <w:jc w:val="center"/>
                    <w:rPr>
                      <w:color w:val="000000" w:themeColor="text1"/>
                      <w14:textFill>
                        <w14:solidFill>
                          <w14:schemeClr w14:val="tx1"/>
                        </w14:solidFill>
                      </w14:textFill>
                    </w:rPr>
                  </w:pPr>
                </w:p>
              </w:tc>
              <w:tc>
                <w:tcPr>
                  <w:tcW w:w="1334" w:type="dxa"/>
                  <w:vAlign w:val="center"/>
                </w:tcPr>
                <w:p>
                  <w:pPr>
                    <w:jc w:val="center"/>
                    <w:rPr>
                      <w:color w:val="000000" w:themeColor="text1"/>
                      <w14:textFill>
                        <w14:solidFill>
                          <w14:schemeClr w14:val="tx1"/>
                        </w14:solidFill>
                      </w14:textFill>
                    </w:rPr>
                  </w:pPr>
                </w:p>
              </w:tc>
              <w:tc>
                <w:tcPr>
                  <w:tcW w:w="1355" w:type="dxa"/>
                  <w:vAlign w:val="center"/>
                </w:tcPr>
                <w:p>
                  <w:pPr>
                    <w:jc w:val="center"/>
                    <w:rPr>
                      <w:color w:val="000000" w:themeColor="text1"/>
                      <w14:textFill>
                        <w14:solidFill>
                          <w14:schemeClr w14:val="tx1"/>
                        </w14:solidFill>
                      </w14:textFill>
                    </w:rPr>
                  </w:pPr>
                </w:p>
              </w:tc>
              <w:tc>
                <w:tcPr>
                  <w:tcW w:w="1146" w:type="dxa"/>
                  <w:vAlign w:val="center"/>
                </w:tcPr>
                <w:p>
                  <w:pPr>
                    <w:jc w:val="center"/>
                    <w:rPr>
                      <w:color w:val="000000" w:themeColor="text1"/>
                      <w14:textFill>
                        <w14:solidFill>
                          <w14:schemeClr w14:val="tx1"/>
                        </w14:solidFill>
                      </w14:textFill>
                    </w:rPr>
                  </w:pPr>
                </w:p>
              </w:tc>
              <w:tc>
                <w:tcPr>
                  <w:tcW w:w="1162" w:type="dxa"/>
                  <w:vAlign w:val="center"/>
                </w:tcPr>
                <w:p>
                  <w:pPr>
                    <w:jc w:val="center"/>
                    <w:rPr>
                      <w:color w:val="000000" w:themeColor="text1"/>
                      <w14:textFill>
                        <w14:solidFill>
                          <w14:schemeClr w14:val="tx1"/>
                        </w14:solidFill>
                      </w14:textFill>
                    </w:rPr>
                  </w:pPr>
                </w:p>
              </w:tc>
            </w:tr>
          </w:tbl>
          <w:p>
            <w:pPr>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2406"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*考核方式 (Grading)</w:t>
            </w:r>
          </w:p>
        </w:tc>
        <w:tc>
          <w:tcPr>
            <w:tcW w:w="7518" w:type="dxa"/>
            <w:gridSpan w:val="7"/>
            <w:vAlign w:val="center"/>
          </w:tcPr>
          <w:p>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平时成绩（30%）+各阶段大作业成绩（70%）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trPr>
        <w:tc>
          <w:tcPr>
            <w:tcW w:w="2406"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*教材或参考资料(Textbooks &amp; Other Materials)</w:t>
            </w:r>
          </w:p>
        </w:tc>
        <w:tc>
          <w:tcPr>
            <w:tcW w:w="7518" w:type="dxa"/>
            <w:gridSpan w:val="7"/>
            <w:vAlign w:val="center"/>
          </w:tcPr>
          <w:p>
            <w:pPr>
              <w:jc w:val="left"/>
              <w:rPr>
                <w:color w:val="000000" w:themeColor="text1"/>
                <w14:textFill>
                  <w14:solidFill>
                    <w14:schemeClr w14:val="tx1"/>
                  </w14:solidFill>
                </w14:textFill>
              </w:rPr>
            </w:pPr>
            <w:r>
              <w:rPr>
                <w:color w:val="000000" w:themeColor="text1"/>
                <w14:textFill>
                  <w14:solidFill>
                    <w14:schemeClr w14:val="tx1"/>
                  </w14:solidFill>
                </w14:textFill>
              </w:rPr>
              <w:t xml:space="preserve">1. Derek Dunn-Rankin , Lean Combustion Technology and Control, Elsevier, 2007 </w:t>
            </w:r>
          </w:p>
          <w:p>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2. Lefebvre , Arthur H， Gas turbine combustion : alternative fuels and emissions，Taylor &amp; Francis, 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其它（More）</w:t>
            </w:r>
          </w:p>
        </w:tc>
        <w:tc>
          <w:tcPr>
            <w:tcW w:w="7518" w:type="dxa"/>
            <w:gridSpan w:val="7"/>
            <w:vAlign w:val="center"/>
          </w:tcPr>
          <w:p>
            <w:pPr>
              <w:jc w:val="center"/>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备注（Notes）</w:t>
            </w:r>
          </w:p>
        </w:tc>
        <w:tc>
          <w:tcPr>
            <w:tcW w:w="7518" w:type="dxa"/>
            <w:gridSpan w:val="7"/>
            <w:vAlign w:val="center"/>
          </w:tcPr>
          <w:p>
            <w:pPr>
              <w:jc w:val="center"/>
              <w:rPr>
                <w:color w:val="000000" w:themeColor="text1"/>
                <w14:textFill>
                  <w14:solidFill>
                    <w14:schemeClr w14:val="tx1"/>
                  </w14:solidFill>
                </w14:textFill>
              </w:rPr>
            </w:pPr>
          </w:p>
        </w:tc>
      </w:tr>
    </w:tbl>
    <w:p>
      <w:pPr>
        <w:spacing w:before="312" w:beforeLines="100"/>
        <w:jc w:val="left"/>
      </w:pPr>
      <w:r>
        <w:rPr>
          <w:rFonts w:hint="eastAsia"/>
        </w:rPr>
        <w:t>备注说明：</w:t>
      </w:r>
    </w:p>
    <w:p>
      <w:pPr>
        <w:spacing w:line="400" w:lineRule="exact"/>
        <w:ind w:firstLine="420" w:firstLineChars="200"/>
      </w:pPr>
      <w:r>
        <w:rPr>
          <w:rFonts w:hint="eastAsia"/>
        </w:rPr>
        <w:t>1．带*内容为必填项，英语授课课程需另提交一份英文填写版本。</w:t>
      </w:r>
    </w:p>
    <w:p>
      <w:pPr>
        <w:spacing w:line="400" w:lineRule="exact"/>
        <w:ind w:firstLine="420" w:firstLineChars="200"/>
      </w:pPr>
      <w:r>
        <w:rPr>
          <w:rFonts w:hint="eastAsia"/>
        </w:rPr>
        <w:t>2．课程简介字数为300-500字；课程大纲以表述清楚教学安排为宜，字数不限。</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Symeteo">
    <w:altName w:val="Segoe Print"/>
    <w:panose1 w:val="00000000000000000000"/>
    <w:charset w:val="00"/>
    <w:family w:val="auto"/>
    <w:pitch w:val="default"/>
    <w:sig w:usb0="00000000" w:usb1="00000000" w:usb2="00000000" w:usb3="00000000" w:csb0="000001FF" w:csb1="00000000"/>
  </w:font>
  <w:font w:name="Arial">
    <w:panose1 w:val="020B0604020202020204"/>
    <w:charset w:val="00"/>
    <w:family w:val="swiss"/>
    <w:pitch w:val="default"/>
    <w:sig w:usb0="E0002E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20</w:t>
    </w:r>
    <w:r>
      <w:t>1</w:t>
    </w:r>
    <w:r>
      <w:rPr>
        <w:rFonts w:hint="eastAsia"/>
      </w:rPr>
      <w:t>9夏季学期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E47CD3"/>
    <w:multiLevelType w:val="multilevel"/>
    <w:tmpl w:val="36E47CD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6061D"/>
    <w:rsid w:val="00016D09"/>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95466"/>
    <w:rsid w:val="001A4FE4"/>
    <w:rsid w:val="001A637A"/>
    <w:rsid w:val="001C7AD8"/>
    <w:rsid w:val="001D0BF5"/>
    <w:rsid w:val="001E73FD"/>
    <w:rsid w:val="00207DEF"/>
    <w:rsid w:val="00227A34"/>
    <w:rsid w:val="002428BC"/>
    <w:rsid w:val="0026026C"/>
    <w:rsid w:val="0026569D"/>
    <w:rsid w:val="0027360E"/>
    <w:rsid w:val="0028182B"/>
    <w:rsid w:val="0028463A"/>
    <w:rsid w:val="002A157D"/>
    <w:rsid w:val="002A6549"/>
    <w:rsid w:val="002A7980"/>
    <w:rsid w:val="002B6537"/>
    <w:rsid w:val="002D4CDC"/>
    <w:rsid w:val="003036D4"/>
    <w:rsid w:val="00305FE1"/>
    <w:rsid w:val="003237D3"/>
    <w:rsid w:val="00341CDD"/>
    <w:rsid w:val="00366702"/>
    <w:rsid w:val="003715C0"/>
    <w:rsid w:val="00377008"/>
    <w:rsid w:val="003948E3"/>
    <w:rsid w:val="00395246"/>
    <w:rsid w:val="0039570D"/>
    <w:rsid w:val="003C4422"/>
    <w:rsid w:val="003D10F5"/>
    <w:rsid w:val="003D2213"/>
    <w:rsid w:val="003E65CC"/>
    <w:rsid w:val="00446816"/>
    <w:rsid w:val="00461685"/>
    <w:rsid w:val="00474457"/>
    <w:rsid w:val="00487AD7"/>
    <w:rsid w:val="004921CE"/>
    <w:rsid w:val="004D4153"/>
    <w:rsid w:val="004D4785"/>
    <w:rsid w:val="004D62C4"/>
    <w:rsid w:val="004E283B"/>
    <w:rsid w:val="005031D5"/>
    <w:rsid w:val="00511D50"/>
    <w:rsid w:val="00520B0A"/>
    <w:rsid w:val="00557AD3"/>
    <w:rsid w:val="00565461"/>
    <w:rsid w:val="00577467"/>
    <w:rsid w:val="00577ECF"/>
    <w:rsid w:val="005B52BE"/>
    <w:rsid w:val="005F49AB"/>
    <w:rsid w:val="0061590F"/>
    <w:rsid w:val="00625DD3"/>
    <w:rsid w:val="00647F8A"/>
    <w:rsid w:val="00656964"/>
    <w:rsid w:val="00663B60"/>
    <w:rsid w:val="00686943"/>
    <w:rsid w:val="006A13AE"/>
    <w:rsid w:val="006D3645"/>
    <w:rsid w:val="006F1849"/>
    <w:rsid w:val="006F49C1"/>
    <w:rsid w:val="00705456"/>
    <w:rsid w:val="00707583"/>
    <w:rsid w:val="007252D6"/>
    <w:rsid w:val="0074127F"/>
    <w:rsid w:val="00784A11"/>
    <w:rsid w:val="00795F2D"/>
    <w:rsid w:val="007A19E1"/>
    <w:rsid w:val="007B376D"/>
    <w:rsid w:val="007D4099"/>
    <w:rsid w:val="007E4B77"/>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73FA"/>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45240"/>
    <w:rsid w:val="00B74383"/>
    <w:rsid w:val="00B970D8"/>
    <w:rsid w:val="00BB54A5"/>
    <w:rsid w:val="00BE022B"/>
    <w:rsid w:val="00C02F6C"/>
    <w:rsid w:val="00C040DE"/>
    <w:rsid w:val="00C2626F"/>
    <w:rsid w:val="00C37F32"/>
    <w:rsid w:val="00C46B87"/>
    <w:rsid w:val="00C73038"/>
    <w:rsid w:val="00C85828"/>
    <w:rsid w:val="00CB685A"/>
    <w:rsid w:val="00CF32A8"/>
    <w:rsid w:val="00CF7312"/>
    <w:rsid w:val="00CF7914"/>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02A"/>
    <w:rsid w:val="00E54B0F"/>
    <w:rsid w:val="00E5505D"/>
    <w:rsid w:val="00E85F6E"/>
    <w:rsid w:val="00E90402"/>
    <w:rsid w:val="00E953DB"/>
    <w:rsid w:val="00EA259D"/>
    <w:rsid w:val="00EB20C0"/>
    <w:rsid w:val="00EC1070"/>
    <w:rsid w:val="00ED2940"/>
    <w:rsid w:val="00ED30B5"/>
    <w:rsid w:val="00F262EB"/>
    <w:rsid w:val="00F46C0A"/>
    <w:rsid w:val="00F67475"/>
    <w:rsid w:val="00F746B7"/>
    <w:rsid w:val="00FC1AA0"/>
    <w:rsid w:val="00FC687D"/>
    <w:rsid w:val="00FE20EB"/>
    <w:rsid w:val="00FE3349"/>
    <w:rsid w:val="00FE4D40"/>
    <w:rsid w:val="00FF22DC"/>
    <w:rsid w:val="0AE417F5"/>
    <w:rsid w:val="1D7B6EC1"/>
    <w:rsid w:val="326556B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4"/>
    <w:unhideWhenUsed/>
    <w:qFormat/>
    <w:uiPriority w:val="99"/>
    <w:pPr>
      <w:tabs>
        <w:tab w:val="center" w:pos="4153"/>
        <w:tab w:val="right" w:pos="8306"/>
      </w:tabs>
      <w:snapToGrid w:val="0"/>
      <w:jc w:val="left"/>
    </w:pPr>
    <w:rPr>
      <w:sz w:val="18"/>
      <w:szCs w:val="18"/>
    </w:rPr>
  </w:style>
  <w:style w:type="paragraph" w:styleId="4">
    <w:name w:val="header"/>
    <w:basedOn w:val="1"/>
    <w:link w:val="13"/>
    <w:unhideWhenUsed/>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styleId="7">
    <w:name w:val="Hyperlink"/>
    <w:basedOn w:val="5"/>
    <w:semiHidden/>
    <w:unhideWhenUsed/>
    <w:qFormat/>
    <w:uiPriority w:val="99"/>
    <w:rPr>
      <w:color w:val="0000FF"/>
      <w:u w:val="none"/>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10">
    <w:name w:val="List Paragraph"/>
    <w:basedOn w:val="1"/>
    <w:qFormat/>
    <w:uiPriority w:val="34"/>
    <w:pPr>
      <w:ind w:firstLine="420" w:firstLineChars="200"/>
    </w:pPr>
  </w:style>
  <w:style w:type="paragraph" w:customStyle="1" w:styleId="11">
    <w:name w:val="样式2"/>
    <w:basedOn w:val="1"/>
    <w:uiPriority w:val="0"/>
    <w:rPr>
      <w:rFonts w:ascii="宋体" w:hAnsi="宋体" w:eastAsia="宋体" w:cs="Symeteo"/>
      <w:bCs/>
      <w:color w:val="FF0000"/>
      <w:sz w:val="24"/>
      <w:szCs w:val="24"/>
    </w:rPr>
  </w:style>
  <w:style w:type="character" w:customStyle="1" w:styleId="12">
    <w:name w:val="批注框文本 字符"/>
    <w:basedOn w:val="5"/>
    <w:link w:val="2"/>
    <w:semiHidden/>
    <w:qFormat/>
    <w:uiPriority w:val="99"/>
    <w:rPr>
      <w:sz w:val="18"/>
      <w:szCs w:val="18"/>
    </w:rPr>
  </w:style>
  <w:style w:type="character" w:customStyle="1" w:styleId="13">
    <w:name w:val="页眉 字符"/>
    <w:basedOn w:val="5"/>
    <w:link w:val="4"/>
    <w:qFormat/>
    <w:uiPriority w:val="99"/>
    <w:rPr>
      <w:sz w:val="18"/>
      <w:szCs w:val="18"/>
    </w:rPr>
  </w:style>
  <w:style w:type="character" w:customStyle="1" w:styleId="14">
    <w:name w:val="页脚 字符"/>
    <w:basedOn w:val="5"/>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566</Words>
  <Characters>3228</Characters>
  <Lines>26</Lines>
  <Paragraphs>7</Paragraphs>
  <TotalTime>8</TotalTime>
  <ScaleCrop>false</ScaleCrop>
  <LinksUpToDate>false</LinksUpToDate>
  <CharactersWithSpaces>3787</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2014-07-21T01:35:00Z</dcterms:created>
  <dc:creator>xiqiang yang</dc:creator>
  <cp:lastModifiedBy>QY</cp:lastModifiedBy>
  <cp:lastPrinted>2014-04-28T01:34:00Z</cp:lastPrinted>
  <dcterms:modified xsi:type="dcterms:W3CDTF">2018-12-05T01:53:30Z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