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center"/>
        <w:rPr>
          <w:b/>
          <w:sz w:val="32"/>
          <w:szCs w:val="32"/>
        </w:rPr>
      </w:pPr>
      <w:r>
        <w:rPr>
          <w:rFonts w:hint="eastAsia"/>
          <w:b/>
          <w:bCs/>
          <w:sz w:val="32"/>
          <w:szCs w:val="36"/>
        </w:rPr>
        <w:t>人类进化与饮食革命</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pPr>
            <w:r>
              <w:rPr>
                <w:rFonts w:hint="eastAsia"/>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color w:val="00B050"/>
              </w:rPr>
              <w:t>（中文）</w:t>
            </w:r>
            <w:r>
              <w:rPr>
                <w:rFonts w:hint="eastAsia"/>
              </w:rPr>
              <w:t>人类进化与饮食革命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spacing w:line="360" w:lineRule="auto"/>
              <w:rPr>
                <w:rFonts w:ascii="Times New Roman" w:hAnsi="Times New Roman" w:cs="Times New Roman"/>
                <w:b/>
                <w:i/>
                <w:kern w:val="0"/>
                <w:sz w:val="24"/>
                <w:szCs w:val="24"/>
              </w:rPr>
            </w:pPr>
            <w:r>
              <w:rPr>
                <w:rFonts w:hint="eastAsia"/>
                <w:color w:val="00B050"/>
              </w:rPr>
              <w:t>（英文）</w:t>
            </w:r>
            <w:r>
              <w:rPr>
                <w:rFonts w:ascii="Times New Roman" w:hAnsi="Times New Roman" w:eastAsia="PMingLiU" w:cs="Times New Roman"/>
                <w:kern w:val="0"/>
                <w:sz w:val="24"/>
                <w:szCs w:val="24"/>
                <w:lang w:eastAsia="en-US"/>
              </w:rPr>
              <w:t>The lifestyles of monkeys, apes and humans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r>
              <w:rPr>
                <w:rFonts w:hint="eastAsia"/>
              </w:rPr>
              <w:t>summer course for overseas scholars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pPr>
            <w:r>
              <w:t>undergraduate</w:t>
            </w:r>
            <w:r>
              <w:rPr>
                <w:rFonts w:hint="eastAsia"/>
              </w:rPr>
              <w:t xml:space="preserve">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pPr>
            <w:r>
              <w:rPr>
                <w:rFonts w:hint="eastAsia"/>
              </w:rPr>
              <w:t>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left"/>
            </w:pPr>
            <w:r>
              <w:rPr>
                <w:rFonts w:hint="eastAsia"/>
              </w:rPr>
              <w:t>School of Agriculture and Biology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bookmarkStart w:id="0" w:name="_GoBack"/>
            <w:r>
              <w:rPr>
                <w:rFonts w:hint="eastAsia"/>
              </w:rPr>
              <w:t>Peter Lucas</w:t>
            </w:r>
            <w:bookmarkEnd w:id="0"/>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ind w:firstLine="420" w:firstLineChars="200"/>
              <w:rPr>
                <w:sz w:val="24"/>
                <w:szCs w:val="24"/>
              </w:rPr>
            </w:pPr>
            <w:r>
              <w:rPr>
                <w:rFonts w:hint="eastAsia"/>
                <w:szCs w:val="24"/>
              </w:rPr>
              <w:t>人类起源一直是世界科学难题。人猿相</w:t>
            </w:r>
            <w:r>
              <w:rPr>
                <w:szCs w:val="24"/>
              </w:rPr>
              <w:t>揖别</w:t>
            </w:r>
            <w:r>
              <w:rPr>
                <w:rFonts w:hint="eastAsia"/>
                <w:szCs w:val="24"/>
              </w:rPr>
              <w:t>，为何只有人类迈步进入了进化大道。人类与猿类的基因有98%相同，不足2%的差异竟造成人类与猿类的巨大差别。</w:t>
            </w:r>
            <w:r>
              <w:rPr>
                <w:szCs w:val="24"/>
              </w:rPr>
              <w:t>进化是个漫长、复杂的历史进程。在这个过程中，人类</w:t>
            </w:r>
            <w:r>
              <w:rPr>
                <w:rFonts w:hint="eastAsia"/>
                <w:szCs w:val="24"/>
              </w:rPr>
              <w:t>的生存环境、</w:t>
            </w:r>
            <w:r>
              <w:rPr>
                <w:szCs w:val="24"/>
              </w:rPr>
              <w:t>饮食结构</w:t>
            </w:r>
            <w:r>
              <w:rPr>
                <w:rFonts w:hint="eastAsia"/>
                <w:szCs w:val="24"/>
              </w:rPr>
              <w:t>与</w:t>
            </w:r>
            <w:r>
              <w:rPr>
                <w:szCs w:val="24"/>
              </w:rPr>
              <w:t>制备</w:t>
            </w:r>
            <w:r>
              <w:rPr>
                <w:rFonts w:hint="eastAsia"/>
                <w:szCs w:val="24"/>
              </w:rPr>
              <w:t>、</w:t>
            </w:r>
            <w:r>
              <w:rPr>
                <w:szCs w:val="24"/>
              </w:rPr>
              <w:t>行为方式的改变起到了关键</w:t>
            </w:r>
            <w:r>
              <w:rPr>
                <w:rFonts w:hint="eastAsia"/>
                <w:szCs w:val="24"/>
              </w:rPr>
              <w:t>性</w:t>
            </w:r>
            <w:r>
              <w:rPr>
                <w:szCs w:val="24"/>
              </w:rPr>
              <w:t>作用。</w:t>
            </w:r>
            <w:r>
              <w:rPr>
                <w:rFonts w:hint="eastAsia"/>
                <w:szCs w:val="24"/>
              </w:rPr>
              <w:t>本课程将现代综合进化论、现代分子生物学、人类学的前沿性研究成果融为一体，从生物与环境、微观与宏观、表型进化与遗传系统进化的辩证关系出发，聚焦人类和灵长目动物的遗传基础、形态特征、摄食方式、生存环境的异同，通过对人类与灵长类动物的感官学特征（视觉、味觉、嗅觉、听觉、触觉等）以及行为学特征（交谈、行走、社会行为等）的深入剖析，阐释生命进化的规律。通过课程学习，使学生了解人类饮食与生命发展的关系，有助于学生当代大科学世界观的形成，培养学生识别真伪科学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widowControl/>
              <w:ind w:firstLine="720" w:firstLineChars="300"/>
              <w:jc w:val="left"/>
              <w:rPr>
                <w:rFonts w:ascii="Times New Roman" w:hAnsi="Times New Roman" w:cs="Times New Roman"/>
                <w:kern w:val="0"/>
                <w:sz w:val="24"/>
                <w:szCs w:val="24"/>
              </w:rPr>
            </w:pPr>
            <w:r>
              <w:rPr>
                <w:rFonts w:ascii="Times New Roman" w:hAnsi="Times New Roman" w:eastAsia="PMingLiU" w:cs="Times New Roman"/>
                <w:kern w:val="0"/>
                <w:sz w:val="24"/>
                <w:szCs w:val="24"/>
                <w:lang w:eastAsia="en-US"/>
              </w:rPr>
              <w:t>Humans evolved quite recently from the other great apes – the chimpanzees, gorillas and orangutans – but, of course, we live and behave very differently from them despite great similarity in genetic makeup. We move on two legs. We have enormous brains. We talk a lot. We have a very different diet, being starch- rather than sugar- based. We have excellent colour vision coupled with the best binocular (stereoscopic) vision of any mammal.</w:t>
            </w:r>
            <w:r>
              <w:rPr>
                <w:rFonts w:hint="eastAsia" w:ascii="Times New Roman" w:hAnsi="Times New Roman" w:cs="Times New Roman"/>
                <w:kern w:val="0"/>
                <w:sz w:val="24"/>
                <w:szCs w:val="24"/>
              </w:rPr>
              <w:t xml:space="preserve"> </w:t>
            </w:r>
            <w:r>
              <w:rPr>
                <w:rFonts w:ascii="Times New Roman" w:hAnsi="Times New Roman" w:eastAsia="PMingLiU" w:cs="Times New Roman"/>
                <w:kern w:val="0"/>
                <w:sz w:val="24"/>
                <w:szCs w:val="24"/>
                <w:lang w:eastAsia="en-US"/>
              </w:rPr>
              <w:t>The course will look at how monkeys, apes and other mammals use their own capabilities.</w:t>
            </w:r>
            <w:r>
              <w:rPr>
                <w:rFonts w:hint="eastAsia" w:ascii="Times New Roman" w:hAnsi="Times New Roman" w:cs="Times New Roman"/>
                <w:kern w:val="0"/>
                <w:sz w:val="24"/>
                <w:szCs w:val="24"/>
              </w:rPr>
              <w:t xml:space="preserve"> </w:t>
            </w:r>
            <w:r>
              <w:rPr>
                <w:rFonts w:ascii="Times New Roman" w:hAnsi="Times New Roman" w:eastAsia="PMingLiU" w:cs="Times New Roman"/>
                <w:kern w:val="0"/>
                <w:sz w:val="24"/>
                <w:szCs w:val="24"/>
                <w:lang w:eastAsia="en-US"/>
              </w:rPr>
              <w:t>It offers explanations for many of our distinctive sensory and motor capabilities by comparing them with those of our nearest living relatives and putting the functional advantages of these differences into an ecological context: into a forest or savannah habitat. In this way, the evolution of these differences can be better understood.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pPr>
              <w:rPr>
                <w:rFonts w:ascii="Times New Roman" w:hAnsi="Times New Roman" w:cs="Times New Roman"/>
              </w:rPr>
            </w:pPr>
            <w:r>
              <w:rPr>
                <w:rFonts w:hint="eastAsia" w:ascii="Times New Roman" w:hAnsi="Times New Roman" w:cs="Times New Roman"/>
              </w:rPr>
              <w:t xml:space="preserve">1. </w:t>
            </w:r>
            <w:r>
              <w:rPr>
                <w:rFonts w:ascii="Times New Roman" w:hAnsi="Times New Roman" w:cs="Times New Roman"/>
              </w:rPr>
              <w:t xml:space="preserve">To understand </w:t>
            </w:r>
            <w:r>
              <w:rPr>
                <w:rFonts w:hint="eastAsia" w:ascii="Times New Roman" w:hAnsi="Times New Roman" w:cs="Times New Roman"/>
              </w:rPr>
              <w:t xml:space="preserve">basic </w:t>
            </w:r>
            <w:r>
              <w:rPr>
                <w:rFonts w:ascii="Times New Roman" w:hAnsi="Times New Roman" w:cs="Times New Roman"/>
              </w:rPr>
              <w:t>knowledge</w:t>
            </w:r>
            <w:r>
              <w:rPr>
                <w:rFonts w:hint="eastAsia" w:ascii="Times New Roman" w:hAnsi="Times New Roman" w:cs="Times New Roman"/>
              </w:rPr>
              <w:t xml:space="preserve"> of human evolution</w:t>
            </w:r>
          </w:p>
          <w:p>
            <w:r>
              <w:rPr>
                <w:rFonts w:hint="eastAsia"/>
              </w:rPr>
              <w:t xml:space="preserve">2. To understand </w:t>
            </w:r>
            <w:r>
              <w:t xml:space="preserve">human lifestyles in terms of </w:t>
            </w:r>
            <w:r>
              <w:rPr>
                <w:rFonts w:hint="eastAsia"/>
              </w:rPr>
              <w:t>evolution</w:t>
            </w:r>
          </w:p>
          <w:p>
            <w:r>
              <w:rPr>
                <w:rFonts w:hint="eastAsia"/>
              </w:rPr>
              <w:t>3. To go across disciplinary boundaries and develop analytical skills and general understanding of an important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&amp;</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425"/>
              <w:gridCol w:w="992"/>
              <w:gridCol w:w="1276"/>
              <w:gridCol w:w="2552"/>
              <w:gridCol w:w="71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314" w:type="dxa"/>
                </w:tcPr>
                <w:p>
                  <w:pPr>
                    <w:jc w:val="center"/>
                  </w:pPr>
                  <w:r>
                    <w:rPr>
                      <w:rFonts w:hint="eastAsia"/>
                    </w:rPr>
                    <w:t>教学内容</w:t>
                  </w:r>
                </w:p>
              </w:tc>
              <w:tc>
                <w:tcPr>
                  <w:tcW w:w="425" w:type="dxa"/>
                </w:tcPr>
                <w:p>
                  <w:pPr>
                    <w:jc w:val="center"/>
                  </w:pPr>
                  <w:r>
                    <w:rPr>
                      <w:rFonts w:hint="eastAsia"/>
                    </w:rPr>
                    <w:t>学时</w:t>
                  </w:r>
                </w:p>
              </w:tc>
              <w:tc>
                <w:tcPr>
                  <w:tcW w:w="992" w:type="dxa"/>
                </w:tcPr>
                <w:p>
                  <w:pPr>
                    <w:jc w:val="center"/>
                  </w:pPr>
                  <w:r>
                    <w:rPr>
                      <w:rFonts w:hint="eastAsia"/>
                    </w:rPr>
                    <w:t>教学方式</w:t>
                  </w:r>
                </w:p>
              </w:tc>
              <w:tc>
                <w:tcPr>
                  <w:tcW w:w="1276" w:type="dxa"/>
                </w:tcPr>
                <w:p>
                  <w:pPr>
                    <w:jc w:val="center"/>
                  </w:pPr>
                  <w:r>
                    <w:rPr>
                      <w:rFonts w:hint="eastAsia"/>
                    </w:rPr>
                    <w:t>作业及要求</w:t>
                  </w:r>
                </w:p>
              </w:tc>
              <w:tc>
                <w:tcPr>
                  <w:tcW w:w="2552" w:type="dxa"/>
                </w:tcPr>
                <w:p>
                  <w:r>
                    <w:rPr>
                      <w:rFonts w:hint="eastAsia"/>
                    </w:rPr>
                    <w:t>基本要求</w:t>
                  </w:r>
                </w:p>
              </w:tc>
              <w:tc>
                <w:tcPr>
                  <w:tcW w:w="710"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314" w:type="dxa"/>
                  <w:vAlign w:val="center"/>
                </w:tcPr>
                <w:p>
                  <w:pPr>
                    <w:jc w:val="center"/>
                    <w:rPr>
                      <w:rFonts w:ascii="Times New Roman" w:hAnsi="Times New Roman" w:cs="Times New Roman"/>
                    </w:rPr>
                  </w:pPr>
                  <w:r>
                    <w:rPr>
                      <w:rFonts w:ascii="Times New Roman" w:hAnsi="Times New Roman" w:cs="Times New Roman"/>
                    </w:rPr>
                    <w:t>Introduction</w:t>
                  </w:r>
                </w:p>
              </w:tc>
              <w:tc>
                <w:tcPr>
                  <w:tcW w:w="425" w:type="dxa"/>
                  <w:vAlign w:val="center"/>
                </w:tcPr>
                <w:p>
                  <w:pPr>
                    <w:jc w:val="center"/>
                    <w:rPr>
                      <w:rFonts w:ascii="Times New Roman" w:hAnsi="Times New Roman" w:cs="Times New Roman"/>
                    </w:rPr>
                  </w:pPr>
                  <w:r>
                    <w:rPr>
                      <w:rFonts w:ascii="Times New Roman" w:hAnsi="Times New Roman" w:cs="Times New Roman"/>
                    </w:rPr>
                    <w:t>4</w:t>
                  </w:r>
                </w:p>
              </w:tc>
              <w:tc>
                <w:tcPr>
                  <w:tcW w:w="992" w:type="dxa"/>
                  <w:vAlign w:val="center"/>
                </w:tcPr>
                <w:p>
                  <w:pPr>
                    <w:jc w:val="center"/>
                    <w:rPr>
                      <w:rFonts w:ascii="Times New Roman" w:hAnsi="Times New Roman" w:cs="Times New Roman"/>
                    </w:rPr>
                  </w:pPr>
                  <w:r>
                    <w:rPr>
                      <w:rFonts w:ascii="Times New Roman" w:hAnsi="Times New Roman" w:cs="Times New Roman"/>
                    </w:rPr>
                    <w:t>Lecture</w:t>
                  </w:r>
                </w:p>
              </w:tc>
              <w:tc>
                <w:tcPr>
                  <w:tcW w:w="1276" w:type="dxa"/>
                  <w:vAlign w:val="center"/>
                </w:tcPr>
                <w:p>
                  <w:pPr>
                    <w:jc w:val="center"/>
                    <w:rPr>
                      <w:rFonts w:ascii="Times New Roman" w:hAnsi="Times New Roman" w:cs="Times New Roman"/>
                    </w:rPr>
                  </w:pPr>
                  <w:r>
                    <w:rPr>
                      <w:rFonts w:ascii="Times New Roman" w:hAnsi="Times New Roman" w:cs="Times New Roman"/>
                    </w:rPr>
                    <w:t>Literature reading</w:t>
                  </w:r>
                </w:p>
              </w:tc>
              <w:tc>
                <w:tcPr>
                  <w:tcW w:w="2552" w:type="dxa"/>
                  <w:vAlign w:val="center"/>
                </w:tcPr>
                <w:p>
                  <w:pPr>
                    <w:jc w:val="left"/>
                    <w:rPr>
                      <w:rFonts w:ascii="Times New Roman" w:hAnsi="Times New Roman" w:eastAsia="仿宋" w:cs="Times New Roman"/>
                      <w:szCs w:val="21"/>
                    </w:rPr>
                  </w:pPr>
                  <w:r>
                    <w:rPr>
                      <w:rFonts w:ascii="Times New Roman" w:hAnsi="Times New Roman" w:eastAsia="仿宋" w:cs="Times New Roman"/>
                      <w:szCs w:val="21"/>
                    </w:rPr>
                    <w:t>Briefly introduces modern synthetic theory of evolution, Lamarckism and Darwinism, Punctuated equilibrium</w:t>
                  </w:r>
                </w:p>
              </w:tc>
              <w:tc>
                <w:tcPr>
                  <w:tcW w:w="710" w:type="dxa"/>
                  <w:vAlign w:val="center"/>
                </w:tcPr>
                <w:p>
                  <w:pPr>
                    <w:jc w:val="center"/>
                    <w:rPr>
                      <w:rFonts w:ascii="Times New Roman" w:hAnsi="Times New Roman" w:cs="Times New Roman"/>
                    </w:rPr>
                  </w:pPr>
                  <w:r>
                    <w:rPr>
                      <w:rFonts w:ascii="Times New Roman" w:hAnsi="Times New Roman" w:cs="Times New Roman"/>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314" w:type="dxa"/>
                  <w:vAlign w:val="center"/>
                </w:tcPr>
                <w:p>
                  <w:pPr>
                    <w:jc w:val="center"/>
                  </w:pPr>
                  <w:r>
                    <w:rPr>
                      <w:rFonts w:hint="eastAsia"/>
                    </w:rPr>
                    <w:t xml:space="preserve">Seeing in </w:t>
                  </w:r>
                  <w:r>
                    <w:t>Color</w:t>
                  </w:r>
                  <w:r>
                    <w:rPr>
                      <w:rFonts w:hint="eastAsia"/>
                    </w:rPr>
                    <w:t xml:space="preserve"> and 3D</w:t>
                  </w:r>
                </w:p>
              </w:tc>
              <w:tc>
                <w:tcPr>
                  <w:tcW w:w="425" w:type="dxa"/>
                  <w:vAlign w:val="center"/>
                </w:tcPr>
                <w:p>
                  <w:pPr>
                    <w:jc w:val="center"/>
                  </w:pPr>
                  <w:r>
                    <w:rPr>
                      <w:rFonts w:hint="eastAsia"/>
                    </w:rPr>
                    <w:t>4</w:t>
                  </w:r>
                </w:p>
              </w:tc>
              <w:tc>
                <w:tcPr>
                  <w:tcW w:w="992" w:type="dxa"/>
                  <w:vAlign w:val="center"/>
                </w:tcPr>
                <w:p>
                  <w:pPr>
                    <w:jc w:val="center"/>
                    <w:rPr>
                      <w:rFonts w:ascii="Times New Roman" w:hAnsi="Times New Roman" w:cs="Times New Roman"/>
                    </w:rPr>
                  </w:pPr>
                  <w:r>
                    <w:rPr>
                      <w:rFonts w:ascii="Times New Roman" w:hAnsi="Times New Roman" w:cs="Times New Roman"/>
                    </w:rPr>
                    <w:t>Lecture</w:t>
                  </w:r>
                </w:p>
              </w:tc>
              <w:tc>
                <w:tcPr>
                  <w:tcW w:w="1276" w:type="dxa"/>
                  <w:vAlign w:val="center"/>
                </w:tcPr>
                <w:p>
                  <w:pPr>
                    <w:jc w:val="center"/>
                    <w:rPr>
                      <w:rFonts w:ascii="Times New Roman" w:hAnsi="Times New Roman" w:cs="Times New Roman"/>
                    </w:rPr>
                  </w:pPr>
                  <w:r>
                    <w:rPr>
                      <w:rFonts w:ascii="Times New Roman" w:hAnsi="Times New Roman" w:cs="Times New Roman"/>
                    </w:rPr>
                    <w:t>Literature reading</w:t>
                  </w:r>
                </w:p>
              </w:tc>
              <w:tc>
                <w:tcPr>
                  <w:tcW w:w="2552" w:type="dxa"/>
                  <w:vAlign w:val="center"/>
                </w:tcPr>
                <w:p>
                  <w:pPr>
                    <w:jc w:val="left"/>
                    <w:rPr>
                      <w:rFonts w:ascii="Times New Roman" w:hAnsi="Times New Roman" w:eastAsia="仿宋" w:cs="Times New Roman"/>
                      <w:szCs w:val="21"/>
                    </w:rPr>
                  </w:pPr>
                  <w:r>
                    <w:rPr>
                      <w:rFonts w:ascii="Times New Roman" w:hAnsi="Times New Roman" w:eastAsia="仿宋" w:cs="Times New Roman"/>
                      <w:kern w:val="0"/>
                      <w:szCs w:val="21"/>
                      <w:lang w:eastAsia="en-US"/>
                    </w:rPr>
                    <w:t>C</w:t>
                  </w:r>
                  <w:r>
                    <w:rPr>
                      <w:rFonts w:ascii="Times New Roman" w:hAnsi="Times New Roman" w:eastAsia="仿宋" w:cs="Times New Roman"/>
                      <w:szCs w:val="21"/>
                    </w:rPr>
                    <w:t>overs (briefly) the physiology of colour vision in an easy-to-understand way; the difference between trichromatic and dichromatic colour vision; the basic advantage of colour in terms of clarifying and stabilizing complex scenery; the specific relationship of trichromatic vision with foraging for forest foods like ripe fruits and young leaves; Covers what binocular vision is; the features of the eye and its orbit that maintain it; why some mammals have it and others not; explains parallax and its importance in seeing through a congested environment like a forest.</w:t>
                  </w:r>
                </w:p>
              </w:tc>
              <w:tc>
                <w:tcPr>
                  <w:tcW w:w="710" w:type="dxa"/>
                  <w:vAlign w:val="center"/>
                </w:tcPr>
                <w:p>
                  <w:pPr>
                    <w:jc w:val="center"/>
                  </w:pPr>
                  <w:r>
                    <w:rPr>
                      <w:rFonts w:ascii="Times New Roman" w:hAnsi="Times New Roman" w:cs="Times New Roman"/>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314" w:type="dxa"/>
                  <w:vAlign w:val="center"/>
                </w:tcPr>
                <w:p>
                  <w:pPr>
                    <w:jc w:val="center"/>
                  </w:pPr>
                  <w:r>
                    <w:rPr>
                      <w:rFonts w:hint="eastAsia"/>
                    </w:rPr>
                    <w:t>Smelling and tasting</w:t>
                  </w:r>
                </w:p>
              </w:tc>
              <w:tc>
                <w:tcPr>
                  <w:tcW w:w="425" w:type="dxa"/>
                  <w:vAlign w:val="center"/>
                </w:tcPr>
                <w:p>
                  <w:pPr>
                    <w:jc w:val="center"/>
                  </w:pPr>
                  <w:r>
                    <w:rPr>
                      <w:rFonts w:hint="eastAsia"/>
                    </w:rPr>
                    <w:t>4</w:t>
                  </w:r>
                </w:p>
              </w:tc>
              <w:tc>
                <w:tcPr>
                  <w:tcW w:w="992" w:type="dxa"/>
                  <w:vAlign w:val="center"/>
                </w:tcPr>
                <w:p>
                  <w:pPr>
                    <w:jc w:val="center"/>
                    <w:rPr>
                      <w:rFonts w:ascii="Times New Roman" w:hAnsi="Times New Roman" w:cs="Times New Roman"/>
                    </w:rPr>
                  </w:pPr>
                  <w:r>
                    <w:rPr>
                      <w:rFonts w:ascii="Times New Roman" w:hAnsi="Times New Roman" w:cs="Times New Roman"/>
                    </w:rPr>
                    <w:t>Lecture</w:t>
                  </w:r>
                </w:p>
              </w:tc>
              <w:tc>
                <w:tcPr>
                  <w:tcW w:w="1276" w:type="dxa"/>
                  <w:vAlign w:val="center"/>
                </w:tcPr>
                <w:p>
                  <w:pPr>
                    <w:jc w:val="center"/>
                    <w:rPr>
                      <w:rFonts w:ascii="Times New Roman" w:hAnsi="Times New Roman" w:cs="Times New Roman"/>
                    </w:rPr>
                  </w:pPr>
                  <w:r>
                    <w:rPr>
                      <w:rFonts w:ascii="Times New Roman" w:hAnsi="Times New Roman" w:cs="Times New Roman"/>
                    </w:rPr>
                    <w:t>Literature reading</w:t>
                  </w:r>
                </w:p>
              </w:tc>
              <w:tc>
                <w:tcPr>
                  <w:tcW w:w="2552" w:type="dxa"/>
                  <w:vAlign w:val="center"/>
                </w:tcPr>
                <w:p>
                  <w:pPr>
                    <w:jc w:val="left"/>
                    <w:rPr>
                      <w:rFonts w:ascii="Times New Roman" w:hAnsi="Times New Roman" w:eastAsia="仿宋" w:cs="Times New Roman"/>
                      <w:kern w:val="0"/>
                      <w:szCs w:val="21"/>
                    </w:rPr>
                  </w:pPr>
                  <w:r>
                    <w:rPr>
                      <w:rFonts w:ascii="Times New Roman" w:hAnsi="Times New Roman" w:eastAsia="仿宋" w:cs="Times New Roman"/>
                      <w:kern w:val="0"/>
                      <w:szCs w:val="21"/>
                    </w:rPr>
                    <w:t>Covers the genetic background to smell and taste and the disabling of many olfactory (smell) genes in humans; indicates how smell and vision can be combined to find foods in many primates; indicates how smell and taste combine to produce food flavour inside the mouth, enhanced in humans due to changes in the position of the larynx (for speech)</w:t>
                  </w:r>
                </w:p>
              </w:tc>
              <w:tc>
                <w:tcPr>
                  <w:tcW w:w="710" w:type="dxa"/>
                  <w:vAlign w:val="center"/>
                </w:tcPr>
                <w:p>
                  <w:pPr>
                    <w:jc w:val="center"/>
                  </w:pPr>
                  <w:r>
                    <w:rPr>
                      <w:rFonts w:ascii="Times New Roman" w:hAnsi="Times New Roman" w:cs="Times New Roman"/>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314" w:type="dxa"/>
                  <w:vAlign w:val="center"/>
                </w:tcPr>
                <w:p>
                  <w:pPr>
                    <w:jc w:val="center"/>
                  </w:pPr>
                  <w:r>
                    <w:rPr>
                      <w:rFonts w:hint="eastAsia"/>
                    </w:rPr>
                    <w:t>Hearing and touching</w:t>
                  </w:r>
                </w:p>
              </w:tc>
              <w:tc>
                <w:tcPr>
                  <w:tcW w:w="425" w:type="dxa"/>
                  <w:vAlign w:val="center"/>
                </w:tcPr>
                <w:p>
                  <w:pPr>
                    <w:jc w:val="center"/>
                  </w:pPr>
                  <w:r>
                    <w:rPr>
                      <w:rFonts w:hint="eastAsia"/>
                    </w:rPr>
                    <w:t>4</w:t>
                  </w:r>
                </w:p>
              </w:tc>
              <w:tc>
                <w:tcPr>
                  <w:tcW w:w="992" w:type="dxa"/>
                  <w:vAlign w:val="center"/>
                </w:tcPr>
                <w:p>
                  <w:pPr>
                    <w:jc w:val="center"/>
                    <w:rPr>
                      <w:rFonts w:ascii="Times New Roman" w:hAnsi="Times New Roman" w:cs="Times New Roman"/>
                    </w:rPr>
                  </w:pPr>
                  <w:r>
                    <w:rPr>
                      <w:rFonts w:ascii="Times New Roman" w:hAnsi="Times New Roman" w:cs="Times New Roman"/>
                    </w:rPr>
                    <w:t>Lecture</w:t>
                  </w:r>
                </w:p>
              </w:tc>
              <w:tc>
                <w:tcPr>
                  <w:tcW w:w="1276" w:type="dxa"/>
                  <w:vAlign w:val="center"/>
                </w:tcPr>
                <w:p>
                  <w:pPr>
                    <w:jc w:val="center"/>
                    <w:rPr>
                      <w:rFonts w:ascii="Times New Roman" w:hAnsi="Times New Roman" w:cs="Times New Roman"/>
                    </w:rPr>
                  </w:pPr>
                  <w:r>
                    <w:rPr>
                      <w:rFonts w:ascii="Times New Roman" w:hAnsi="Times New Roman" w:cs="Times New Roman"/>
                    </w:rPr>
                    <w:t>Literature reading</w:t>
                  </w:r>
                </w:p>
              </w:tc>
              <w:tc>
                <w:tcPr>
                  <w:tcW w:w="2552" w:type="dxa"/>
                  <w:vAlign w:val="center"/>
                </w:tcPr>
                <w:p>
                  <w:pPr>
                    <w:widowControl/>
                    <w:jc w:val="left"/>
                    <w:rPr>
                      <w:rFonts w:ascii="Times New Roman" w:hAnsi="Times New Roman" w:eastAsia="仿宋" w:cs="Times New Roman"/>
                      <w:i/>
                      <w:kern w:val="0"/>
                      <w:szCs w:val="21"/>
                    </w:rPr>
                  </w:pPr>
                  <w:r>
                    <w:rPr>
                      <w:rFonts w:ascii="Times New Roman" w:hAnsi="Times New Roman" w:eastAsia="仿宋" w:cs="Times New Roman"/>
                      <w:kern w:val="0"/>
                      <w:szCs w:val="21"/>
                      <w:lang w:eastAsia="en-US"/>
                    </w:rPr>
                    <w:t>Covers the hearing ranges of primates; the importance of hearing to primates that hunt; the importance of hearing for communication; Covers touch and texture perception in primates and the sensory receptors that convey this information.</w:t>
                  </w:r>
                </w:p>
              </w:tc>
              <w:tc>
                <w:tcPr>
                  <w:tcW w:w="710" w:type="dxa"/>
                  <w:vAlign w:val="center"/>
                </w:tcPr>
                <w:p>
                  <w:pPr>
                    <w:jc w:val="center"/>
                  </w:pPr>
                  <w:r>
                    <w:rPr>
                      <w:rFonts w:ascii="Times New Roman" w:hAnsi="Times New Roman" w:cs="Times New Roman"/>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314" w:type="dxa"/>
                  <w:vAlign w:val="center"/>
                </w:tcPr>
                <w:p>
                  <w:pPr>
                    <w:jc w:val="center"/>
                  </w:pPr>
                  <w:r>
                    <w:rPr>
                      <w:rFonts w:hint="eastAsia"/>
                    </w:rPr>
                    <w:t>Cooking and feeding</w:t>
                  </w:r>
                </w:p>
              </w:tc>
              <w:tc>
                <w:tcPr>
                  <w:tcW w:w="425" w:type="dxa"/>
                  <w:vAlign w:val="center"/>
                </w:tcPr>
                <w:p>
                  <w:pPr>
                    <w:jc w:val="center"/>
                  </w:pPr>
                  <w:r>
                    <w:rPr>
                      <w:rFonts w:hint="eastAsia"/>
                    </w:rPr>
                    <w:t>4</w:t>
                  </w:r>
                </w:p>
              </w:tc>
              <w:tc>
                <w:tcPr>
                  <w:tcW w:w="992" w:type="dxa"/>
                  <w:vAlign w:val="center"/>
                </w:tcPr>
                <w:p>
                  <w:pPr>
                    <w:jc w:val="center"/>
                    <w:rPr>
                      <w:rFonts w:ascii="Times New Roman" w:hAnsi="Times New Roman" w:cs="Times New Roman"/>
                    </w:rPr>
                  </w:pPr>
                  <w:r>
                    <w:rPr>
                      <w:rFonts w:ascii="Times New Roman" w:hAnsi="Times New Roman" w:cs="Times New Roman"/>
                    </w:rPr>
                    <w:t>Lecture</w:t>
                  </w:r>
                </w:p>
              </w:tc>
              <w:tc>
                <w:tcPr>
                  <w:tcW w:w="1276" w:type="dxa"/>
                  <w:vAlign w:val="center"/>
                </w:tcPr>
                <w:p>
                  <w:pPr>
                    <w:jc w:val="center"/>
                    <w:rPr>
                      <w:rFonts w:ascii="Times New Roman" w:hAnsi="Times New Roman" w:cs="Times New Roman"/>
                    </w:rPr>
                  </w:pPr>
                  <w:r>
                    <w:rPr>
                      <w:rFonts w:ascii="Times New Roman" w:hAnsi="Times New Roman" w:cs="Times New Roman"/>
                    </w:rPr>
                    <w:t>Literature reading</w:t>
                  </w:r>
                </w:p>
              </w:tc>
              <w:tc>
                <w:tcPr>
                  <w:tcW w:w="2552" w:type="dxa"/>
                  <w:vAlign w:val="center"/>
                </w:tcPr>
                <w:p>
                  <w:pPr>
                    <w:widowControl/>
                    <w:jc w:val="left"/>
                    <w:rPr>
                      <w:rFonts w:ascii="Times New Roman" w:hAnsi="Times New Roman" w:eastAsia="仿宋" w:cs="Times New Roman"/>
                      <w:kern w:val="0"/>
                      <w:szCs w:val="21"/>
                    </w:rPr>
                  </w:pPr>
                  <w:r>
                    <w:rPr>
                      <w:rFonts w:ascii="Times New Roman" w:hAnsi="Times New Roman" w:eastAsia="仿宋" w:cs="Times New Roman"/>
                      <w:kern w:val="0"/>
                      <w:szCs w:val="21"/>
                      <w:lang w:eastAsia="en-US"/>
                    </w:rPr>
                    <w:t>Covers the dietary range of primates versus humans; the energetics of foraging and feeding; the invention of cooking in early humans and its impact of building a big brain</w:t>
                  </w:r>
                  <w:r>
                    <w:rPr>
                      <w:rFonts w:ascii="Times New Roman" w:hAnsi="Times New Roman" w:eastAsia="仿宋" w:cs="Times New Roman"/>
                      <w:kern w:val="0"/>
                      <w:szCs w:val="21"/>
                    </w:rPr>
                    <w:t>.</w:t>
                  </w:r>
                </w:p>
              </w:tc>
              <w:tc>
                <w:tcPr>
                  <w:tcW w:w="710" w:type="dxa"/>
                  <w:vAlign w:val="center"/>
                </w:tcPr>
                <w:p>
                  <w:pPr>
                    <w:jc w:val="center"/>
                  </w:pPr>
                  <w:r>
                    <w:rPr>
                      <w:rFonts w:ascii="Times New Roman" w:hAnsi="Times New Roman" w:cs="Times New Roman"/>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314" w:type="dxa"/>
                  <w:vAlign w:val="center"/>
                </w:tcPr>
                <w:p>
                  <w:pPr>
                    <w:jc w:val="center"/>
                  </w:pPr>
                  <w:r>
                    <w:t>Signaling</w:t>
                  </w:r>
                </w:p>
              </w:tc>
              <w:tc>
                <w:tcPr>
                  <w:tcW w:w="425" w:type="dxa"/>
                  <w:vAlign w:val="center"/>
                </w:tcPr>
                <w:p>
                  <w:pPr>
                    <w:jc w:val="center"/>
                  </w:pPr>
                  <w:r>
                    <w:rPr>
                      <w:rFonts w:hint="eastAsia"/>
                    </w:rPr>
                    <w:t>4</w:t>
                  </w:r>
                </w:p>
              </w:tc>
              <w:tc>
                <w:tcPr>
                  <w:tcW w:w="992" w:type="dxa"/>
                  <w:vAlign w:val="center"/>
                </w:tcPr>
                <w:p>
                  <w:pPr>
                    <w:jc w:val="center"/>
                    <w:rPr>
                      <w:rFonts w:ascii="Times New Roman" w:hAnsi="Times New Roman" w:cs="Times New Roman"/>
                    </w:rPr>
                  </w:pPr>
                  <w:r>
                    <w:rPr>
                      <w:rFonts w:ascii="Times New Roman" w:hAnsi="Times New Roman" w:cs="Times New Roman"/>
                    </w:rPr>
                    <w:t>Lecture</w:t>
                  </w:r>
                </w:p>
              </w:tc>
              <w:tc>
                <w:tcPr>
                  <w:tcW w:w="1276" w:type="dxa"/>
                  <w:vAlign w:val="center"/>
                </w:tcPr>
                <w:p>
                  <w:pPr>
                    <w:jc w:val="center"/>
                    <w:rPr>
                      <w:rFonts w:ascii="Times New Roman" w:hAnsi="Times New Roman" w:cs="Times New Roman"/>
                    </w:rPr>
                  </w:pPr>
                  <w:r>
                    <w:rPr>
                      <w:rFonts w:ascii="Times New Roman" w:hAnsi="Times New Roman" w:cs="Times New Roman"/>
                    </w:rPr>
                    <w:t>Literature reading</w:t>
                  </w:r>
                </w:p>
              </w:tc>
              <w:tc>
                <w:tcPr>
                  <w:tcW w:w="2552" w:type="dxa"/>
                  <w:vAlign w:val="center"/>
                </w:tcPr>
                <w:p>
                  <w:pPr>
                    <w:jc w:val="left"/>
                    <w:rPr>
                      <w:rFonts w:ascii="Times New Roman" w:hAnsi="Times New Roman" w:cs="Times New Roman"/>
                    </w:rPr>
                  </w:pPr>
                  <w:r>
                    <w:rPr>
                      <w:rFonts w:ascii="Times New Roman" w:hAnsi="Times New Roman" w:cs="Times New Roman"/>
                    </w:rPr>
                    <w:t>Covers the modes of communication and signalling in animals – chemical (perceived as smells); visual (perceived by eye) and aural (patterns of sounds perceived by hearing) and emphasizes the vast vocabulary offered by the last-named for group-living humans</w:t>
                  </w:r>
                </w:p>
              </w:tc>
              <w:tc>
                <w:tcPr>
                  <w:tcW w:w="710" w:type="dxa"/>
                  <w:vAlign w:val="center"/>
                </w:tcPr>
                <w:p>
                  <w:pPr>
                    <w:jc w:val="center"/>
                  </w:pPr>
                  <w:r>
                    <w:rPr>
                      <w:rFonts w:ascii="Times New Roman" w:hAnsi="Times New Roman" w:cs="Times New Roman"/>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314" w:type="dxa"/>
                  <w:vAlign w:val="center"/>
                </w:tcPr>
                <w:p>
                  <w:pPr>
                    <w:jc w:val="center"/>
                  </w:pPr>
                  <w:r>
                    <w:rPr>
                      <w:rFonts w:hint="eastAsia"/>
                    </w:rPr>
                    <w:t>Speaking</w:t>
                  </w:r>
                </w:p>
              </w:tc>
              <w:tc>
                <w:tcPr>
                  <w:tcW w:w="425" w:type="dxa"/>
                  <w:vAlign w:val="center"/>
                </w:tcPr>
                <w:p>
                  <w:pPr>
                    <w:jc w:val="center"/>
                  </w:pPr>
                  <w:r>
                    <w:rPr>
                      <w:rFonts w:hint="eastAsia"/>
                    </w:rPr>
                    <w:t>4</w:t>
                  </w:r>
                </w:p>
              </w:tc>
              <w:tc>
                <w:tcPr>
                  <w:tcW w:w="992" w:type="dxa"/>
                  <w:vAlign w:val="center"/>
                </w:tcPr>
                <w:p>
                  <w:pPr>
                    <w:jc w:val="center"/>
                    <w:rPr>
                      <w:rFonts w:ascii="Times New Roman" w:hAnsi="Times New Roman" w:cs="Times New Roman"/>
                    </w:rPr>
                  </w:pPr>
                  <w:r>
                    <w:rPr>
                      <w:rFonts w:ascii="Times New Roman" w:hAnsi="Times New Roman" w:cs="Times New Roman"/>
                    </w:rPr>
                    <w:t>Lecture</w:t>
                  </w:r>
                </w:p>
              </w:tc>
              <w:tc>
                <w:tcPr>
                  <w:tcW w:w="1276" w:type="dxa"/>
                  <w:vAlign w:val="center"/>
                </w:tcPr>
                <w:p>
                  <w:pPr>
                    <w:jc w:val="center"/>
                    <w:rPr>
                      <w:rFonts w:ascii="Times New Roman" w:hAnsi="Times New Roman" w:cs="Times New Roman"/>
                    </w:rPr>
                  </w:pPr>
                  <w:r>
                    <w:rPr>
                      <w:rFonts w:ascii="Times New Roman" w:hAnsi="Times New Roman" w:cs="Times New Roman"/>
                    </w:rPr>
                    <w:t>Literature reading</w:t>
                  </w:r>
                </w:p>
              </w:tc>
              <w:tc>
                <w:tcPr>
                  <w:tcW w:w="2552" w:type="dxa"/>
                  <w:vAlign w:val="center"/>
                </w:tcPr>
                <w:p>
                  <w:pPr>
                    <w:widowControl/>
                    <w:jc w:val="left"/>
                    <w:rPr>
                      <w:rFonts w:ascii="Times New Roman" w:hAnsi="Times New Roman" w:eastAsia="仿宋" w:cs="Times New Roman"/>
                      <w:kern w:val="0"/>
                      <w:szCs w:val="21"/>
                    </w:rPr>
                  </w:pPr>
                  <w:r>
                    <w:rPr>
                      <w:rFonts w:ascii="Times New Roman" w:hAnsi="Times New Roman" w:eastAsia="仿宋" w:cs="Times New Roman"/>
                      <w:kern w:val="0"/>
                      <w:szCs w:val="21"/>
                    </w:rPr>
                    <w:t>Covers t</w:t>
                  </w:r>
                  <w:r>
                    <w:rPr>
                      <w:rFonts w:ascii="Times New Roman" w:hAnsi="Times New Roman" w:eastAsia="仿宋" w:cs="Times New Roman"/>
                      <w:kern w:val="0"/>
                      <w:szCs w:val="21"/>
                      <w:lang w:eastAsia="en-US"/>
                    </w:rPr>
                    <w:t>he sophistication of tool-making in humans and the need for communication to transfer manufacturing skills; the relative ability of humans and other primates to make maps of their environment and its relationship to brain capacity</w:t>
                  </w:r>
                  <w:r>
                    <w:rPr>
                      <w:rFonts w:ascii="Times New Roman" w:hAnsi="Times New Roman" w:eastAsia="仿宋" w:cs="Times New Roman"/>
                      <w:kern w:val="0"/>
                      <w:szCs w:val="21"/>
                    </w:rPr>
                    <w:t>.</w:t>
                  </w:r>
                </w:p>
              </w:tc>
              <w:tc>
                <w:tcPr>
                  <w:tcW w:w="710" w:type="dxa"/>
                  <w:vAlign w:val="center"/>
                </w:tcPr>
                <w:p>
                  <w:pPr>
                    <w:jc w:val="center"/>
                  </w:pPr>
                  <w:r>
                    <w:rPr>
                      <w:rFonts w:ascii="Times New Roman" w:hAnsi="Times New Roman" w:cs="Times New Roman"/>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314" w:type="dxa"/>
                  <w:vAlign w:val="center"/>
                </w:tcPr>
                <w:p>
                  <w:pPr>
                    <w:jc w:val="center"/>
                  </w:pPr>
                  <w:r>
                    <w:rPr>
                      <w:rFonts w:hint="eastAsia"/>
                    </w:rPr>
                    <w:t>Moving around</w:t>
                  </w:r>
                </w:p>
              </w:tc>
              <w:tc>
                <w:tcPr>
                  <w:tcW w:w="425" w:type="dxa"/>
                  <w:vAlign w:val="center"/>
                </w:tcPr>
                <w:p>
                  <w:pPr>
                    <w:jc w:val="center"/>
                  </w:pPr>
                  <w:r>
                    <w:rPr>
                      <w:rFonts w:hint="eastAsia"/>
                    </w:rPr>
                    <w:t>4</w:t>
                  </w:r>
                </w:p>
              </w:tc>
              <w:tc>
                <w:tcPr>
                  <w:tcW w:w="992" w:type="dxa"/>
                  <w:vAlign w:val="center"/>
                </w:tcPr>
                <w:p>
                  <w:pPr>
                    <w:jc w:val="center"/>
                    <w:rPr>
                      <w:rFonts w:ascii="Times New Roman" w:hAnsi="Times New Roman" w:cs="Times New Roman"/>
                    </w:rPr>
                  </w:pPr>
                  <w:r>
                    <w:rPr>
                      <w:rFonts w:ascii="Times New Roman" w:hAnsi="Times New Roman" w:cs="Times New Roman"/>
                    </w:rPr>
                    <w:t>Lecture</w:t>
                  </w:r>
                </w:p>
              </w:tc>
              <w:tc>
                <w:tcPr>
                  <w:tcW w:w="1276" w:type="dxa"/>
                  <w:vAlign w:val="center"/>
                </w:tcPr>
                <w:p>
                  <w:pPr>
                    <w:jc w:val="center"/>
                    <w:rPr>
                      <w:rFonts w:ascii="Times New Roman" w:hAnsi="Times New Roman" w:cs="Times New Roman"/>
                    </w:rPr>
                  </w:pPr>
                  <w:r>
                    <w:rPr>
                      <w:rFonts w:ascii="Times New Roman" w:hAnsi="Times New Roman" w:cs="Times New Roman"/>
                    </w:rPr>
                    <w:t>Literature reading</w:t>
                  </w:r>
                </w:p>
              </w:tc>
              <w:tc>
                <w:tcPr>
                  <w:tcW w:w="2552" w:type="dxa"/>
                  <w:vAlign w:val="center"/>
                </w:tcPr>
                <w:p>
                  <w:pPr>
                    <w:widowControl/>
                    <w:jc w:val="left"/>
                    <w:rPr>
                      <w:rFonts w:ascii="Times New Roman" w:hAnsi="Times New Roman" w:cs="Times New Roman"/>
                      <w:kern w:val="0"/>
                      <w:szCs w:val="21"/>
                    </w:rPr>
                  </w:pPr>
                  <w:r>
                    <w:rPr>
                      <w:rFonts w:ascii="Times New Roman" w:hAnsi="Times New Roman" w:eastAsia="仿宋" w:cs="Times New Roman"/>
                      <w:kern w:val="0"/>
                      <w:szCs w:val="21"/>
                      <w:lang w:eastAsia="en-US"/>
                    </w:rPr>
                    <w:t>Covers the features of human bodies that facilitate efficient bipedal locomotion; why apes walk badly; why walking is not a great advantage energetically over moving on all fours; why running explains our body form much better than walking; the importance of running for hunting (without guns) in savannah habitats</w:t>
                  </w:r>
                  <w:r>
                    <w:rPr>
                      <w:rFonts w:ascii="Times New Roman" w:hAnsi="Times New Roman" w:eastAsia="仿宋" w:cs="Times New Roman"/>
                      <w:kern w:val="0"/>
                      <w:szCs w:val="21"/>
                    </w:rPr>
                    <w:t>.</w:t>
                  </w:r>
                </w:p>
              </w:tc>
              <w:tc>
                <w:tcPr>
                  <w:tcW w:w="710" w:type="dxa"/>
                  <w:vAlign w:val="center"/>
                </w:tcPr>
                <w:p>
                  <w:pPr>
                    <w:jc w:val="center"/>
                  </w:pPr>
                  <w:r>
                    <w:rPr>
                      <w:rFonts w:ascii="Times New Roman" w:hAnsi="Times New Roman" w:cs="Times New Roman"/>
                    </w:rPr>
                    <w:t>Discussion</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314" w:type="dxa"/>
                  <w:vAlign w:val="center"/>
                </w:tcPr>
                <w:p>
                  <w:pPr>
                    <w:jc w:val="center"/>
                  </w:pPr>
                </w:p>
              </w:tc>
              <w:tc>
                <w:tcPr>
                  <w:tcW w:w="425" w:type="dxa"/>
                  <w:vAlign w:val="center"/>
                </w:tcPr>
                <w:p>
                  <w:pPr>
                    <w:jc w:val="center"/>
                  </w:pPr>
                </w:p>
              </w:tc>
              <w:tc>
                <w:tcPr>
                  <w:tcW w:w="992" w:type="dxa"/>
                  <w:vAlign w:val="center"/>
                </w:tcPr>
                <w:p>
                  <w:pPr>
                    <w:jc w:val="center"/>
                  </w:pPr>
                </w:p>
              </w:tc>
              <w:tc>
                <w:tcPr>
                  <w:tcW w:w="1276" w:type="dxa"/>
                  <w:vAlign w:val="center"/>
                </w:tcPr>
                <w:p>
                  <w:pPr>
                    <w:jc w:val="center"/>
                  </w:pPr>
                </w:p>
              </w:tc>
              <w:tc>
                <w:tcPr>
                  <w:tcW w:w="2552" w:type="dxa"/>
                  <w:vAlign w:val="center"/>
                </w:tcPr>
                <w:p>
                  <w:pPr>
                    <w:jc w:val="center"/>
                  </w:pPr>
                </w:p>
              </w:tc>
              <w:tc>
                <w:tcPr>
                  <w:tcW w:w="710"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314" w:type="dxa"/>
                  <w:vAlign w:val="center"/>
                </w:tcPr>
                <w:p>
                  <w:pPr>
                    <w:jc w:val="center"/>
                  </w:pPr>
                </w:p>
              </w:tc>
              <w:tc>
                <w:tcPr>
                  <w:tcW w:w="425" w:type="dxa"/>
                  <w:vAlign w:val="center"/>
                </w:tcPr>
                <w:p>
                  <w:pPr>
                    <w:jc w:val="center"/>
                  </w:pPr>
                </w:p>
              </w:tc>
              <w:tc>
                <w:tcPr>
                  <w:tcW w:w="992" w:type="dxa"/>
                  <w:vAlign w:val="center"/>
                </w:tcPr>
                <w:p>
                  <w:pPr>
                    <w:jc w:val="center"/>
                  </w:pPr>
                </w:p>
              </w:tc>
              <w:tc>
                <w:tcPr>
                  <w:tcW w:w="1276" w:type="dxa"/>
                  <w:vAlign w:val="center"/>
                </w:tcPr>
                <w:p>
                  <w:pPr>
                    <w:jc w:val="center"/>
                  </w:pPr>
                </w:p>
              </w:tc>
              <w:tc>
                <w:tcPr>
                  <w:tcW w:w="2552" w:type="dxa"/>
                  <w:vAlign w:val="center"/>
                </w:tcPr>
                <w:p>
                  <w:pPr>
                    <w:jc w:val="center"/>
                  </w:pPr>
                </w:p>
              </w:tc>
              <w:tc>
                <w:tcPr>
                  <w:tcW w:w="710"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314" w:type="dxa"/>
                  <w:vAlign w:val="center"/>
                </w:tcPr>
                <w:p>
                  <w:pPr>
                    <w:jc w:val="center"/>
                  </w:pPr>
                  <w:r>
                    <w:t>……</w:t>
                  </w:r>
                </w:p>
              </w:tc>
              <w:tc>
                <w:tcPr>
                  <w:tcW w:w="425" w:type="dxa"/>
                  <w:vAlign w:val="center"/>
                </w:tcPr>
                <w:p>
                  <w:pPr>
                    <w:jc w:val="center"/>
                  </w:pPr>
                </w:p>
              </w:tc>
              <w:tc>
                <w:tcPr>
                  <w:tcW w:w="992" w:type="dxa"/>
                  <w:vAlign w:val="center"/>
                </w:tcPr>
                <w:p>
                  <w:pPr>
                    <w:jc w:val="center"/>
                  </w:pPr>
                </w:p>
              </w:tc>
              <w:tc>
                <w:tcPr>
                  <w:tcW w:w="1276" w:type="dxa"/>
                  <w:vAlign w:val="center"/>
                </w:tcPr>
                <w:p>
                  <w:pPr>
                    <w:jc w:val="center"/>
                  </w:pPr>
                </w:p>
              </w:tc>
              <w:tc>
                <w:tcPr>
                  <w:tcW w:w="2552" w:type="dxa"/>
                  <w:vAlign w:val="center"/>
                </w:tcPr>
                <w:p>
                  <w:pPr>
                    <w:jc w:val="center"/>
                  </w:pPr>
                </w:p>
              </w:tc>
              <w:tc>
                <w:tcPr>
                  <w:tcW w:w="710"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rPr>
                <w:rFonts w:asciiTheme="minorEastAsia" w:hAnsiTheme="minorEastAsia"/>
              </w:rPr>
            </w:pPr>
            <w:r>
              <w:rPr>
                <w:rFonts w:hint="eastAsia" w:asciiTheme="minorEastAsia" w:hAnsiTheme="minorEastAsia"/>
              </w:rPr>
              <w:t>Two written quizzes given during classes (20%)</w:t>
            </w:r>
          </w:p>
          <w:p>
            <w:pPr>
              <w:jc w:val="left"/>
              <w:rPr>
                <w:rFonts w:asciiTheme="minorEastAsia" w:hAnsiTheme="minorEastAsia"/>
              </w:rPr>
            </w:pPr>
            <w:r>
              <w:rPr>
                <w:rFonts w:hint="eastAsia" w:asciiTheme="minorEastAsia" w:hAnsiTheme="minorEastAsia"/>
              </w:rPr>
              <w:t>Class participation (10%)</w:t>
            </w:r>
          </w:p>
          <w:p>
            <w:pPr>
              <w:jc w:val="left"/>
            </w:pPr>
            <w:r>
              <w:rPr>
                <w:rFonts w:asciiTheme="minorEastAsia" w:hAnsiTheme="minorEastAsia"/>
              </w:rPr>
              <w:t>P</w:t>
            </w:r>
            <w:r>
              <w:rPr>
                <w:rFonts w:hint="eastAsia" w:asciiTheme="minorEastAsia" w:hAnsiTheme="minorEastAsia"/>
              </w:rPr>
              <w:t>roject and presentation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rPr>
                <w:rFonts w:asciiTheme="minorEastAsia" w:hAnsiTheme="minorEastAsia"/>
              </w:rPr>
            </w:pPr>
            <w:r>
              <w:rPr>
                <w:rFonts w:hint="eastAsia" w:asciiTheme="minorEastAsia" w:hAnsiTheme="minorEastAsia"/>
                <w:color w:val="C00000"/>
              </w:rPr>
              <w:t>*</w:t>
            </w:r>
            <w:r>
              <w:rPr>
                <w:rFonts w:hint="eastAsia" w:asciiTheme="minorEastAsia" w:hAnsiTheme="minorEastAsia"/>
              </w:rPr>
              <w:t>教材或参考资料(Textbooks &amp; Other Materials)</w:t>
            </w:r>
          </w:p>
        </w:tc>
        <w:tc>
          <w:tcPr>
            <w:tcW w:w="7518" w:type="dxa"/>
            <w:gridSpan w:val="7"/>
            <w:vAlign w:val="center"/>
          </w:tcPr>
          <w:p>
            <w:pPr>
              <w:widowControl/>
              <w:jc w:val="left"/>
              <w:outlineLvl w:val="0"/>
              <w:rPr>
                <w:rFonts w:cs="Times New Roman" w:asciiTheme="minorEastAsia" w:hAnsiTheme="minorEastAsia"/>
                <w:kern w:val="0"/>
                <w:szCs w:val="20"/>
              </w:rPr>
            </w:pPr>
            <w:r>
              <w:rPr>
                <w:rFonts w:cs="Times New Roman" w:asciiTheme="minorEastAsia" w:hAnsiTheme="minorEastAsia"/>
                <w:kern w:val="0"/>
                <w:szCs w:val="20"/>
                <w:lang w:eastAsia="en-US"/>
              </w:rPr>
              <w:t>Materials will be provided in the form of readings and special notes for every day of the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PMingLiU">
    <w:altName w:val="PMingLiU-ExtB"/>
    <w:panose1 w:val="02020500000000000000"/>
    <w:charset w:val="88"/>
    <w:family w:val="roma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rPr>
      <w:t>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56A3D"/>
    <w:rsid w:val="0006061D"/>
    <w:rsid w:val="00065C8F"/>
    <w:rsid w:val="000A1B0A"/>
    <w:rsid w:val="000A3107"/>
    <w:rsid w:val="000A548F"/>
    <w:rsid w:val="000B4F6B"/>
    <w:rsid w:val="000B5B61"/>
    <w:rsid w:val="000C4BA4"/>
    <w:rsid w:val="000D71E5"/>
    <w:rsid w:val="00111D93"/>
    <w:rsid w:val="00113507"/>
    <w:rsid w:val="00124F58"/>
    <w:rsid w:val="001320A8"/>
    <w:rsid w:val="00133ABB"/>
    <w:rsid w:val="00135619"/>
    <w:rsid w:val="001473BE"/>
    <w:rsid w:val="00152B75"/>
    <w:rsid w:val="00153410"/>
    <w:rsid w:val="001552DE"/>
    <w:rsid w:val="00155546"/>
    <w:rsid w:val="00160181"/>
    <w:rsid w:val="001764C3"/>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23F8"/>
    <w:rsid w:val="002B6537"/>
    <w:rsid w:val="002D4CDC"/>
    <w:rsid w:val="002F574D"/>
    <w:rsid w:val="003036D4"/>
    <w:rsid w:val="00322DCC"/>
    <w:rsid w:val="003237D3"/>
    <w:rsid w:val="00341CDD"/>
    <w:rsid w:val="00356EA6"/>
    <w:rsid w:val="00365E9E"/>
    <w:rsid w:val="00366702"/>
    <w:rsid w:val="003715C0"/>
    <w:rsid w:val="003748C1"/>
    <w:rsid w:val="00377008"/>
    <w:rsid w:val="00392960"/>
    <w:rsid w:val="003948E3"/>
    <w:rsid w:val="00395246"/>
    <w:rsid w:val="0039570D"/>
    <w:rsid w:val="00396C98"/>
    <w:rsid w:val="003C0819"/>
    <w:rsid w:val="003C4422"/>
    <w:rsid w:val="003D10F5"/>
    <w:rsid w:val="003D2213"/>
    <w:rsid w:val="003E65CC"/>
    <w:rsid w:val="00415FFB"/>
    <w:rsid w:val="00420312"/>
    <w:rsid w:val="00430084"/>
    <w:rsid w:val="00430C4A"/>
    <w:rsid w:val="00444E14"/>
    <w:rsid w:val="0044655C"/>
    <w:rsid w:val="00446816"/>
    <w:rsid w:val="00461685"/>
    <w:rsid w:val="00467F9D"/>
    <w:rsid w:val="00474457"/>
    <w:rsid w:val="00480364"/>
    <w:rsid w:val="00487AD7"/>
    <w:rsid w:val="004921CE"/>
    <w:rsid w:val="004B6331"/>
    <w:rsid w:val="004D4153"/>
    <w:rsid w:val="004D4785"/>
    <w:rsid w:val="004D62C4"/>
    <w:rsid w:val="004E283B"/>
    <w:rsid w:val="005031D5"/>
    <w:rsid w:val="00511D50"/>
    <w:rsid w:val="00520B0A"/>
    <w:rsid w:val="00557AD3"/>
    <w:rsid w:val="00565461"/>
    <w:rsid w:val="00577467"/>
    <w:rsid w:val="00577ECF"/>
    <w:rsid w:val="005A7C7E"/>
    <w:rsid w:val="005B0831"/>
    <w:rsid w:val="005B52BE"/>
    <w:rsid w:val="005D2EE1"/>
    <w:rsid w:val="005E24EE"/>
    <w:rsid w:val="005F49AB"/>
    <w:rsid w:val="00602C52"/>
    <w:rsid w:val="00612ED0"/>
    <w:rsid w:val="0061590F"/>
    <w:rsid w:val="00625DD3"/>
    <w:rsid w:val="00647F8A"/>
    <w:rsid w:val="00656964"/>
    <w:rsid w:val="00663B60"/>
    <w:rsid w:val="00686943"/>
    <w:rsid w:val="00690082"/>
    <w:rsid w:val="006A13AE"/>
    <w:rsid w:val="006A36C5"/>
    <w:rsid w:val="006D3645"/>
    <w:rsid w:val="006F1849"/>
    <w:rsid w:val="006F4810"/>
    <w:rsid w:val="006F49C1"/>
    <w:rsid w:val="00705456"/>
    <w:rsid w:val="00707583"/>
    <w:rsid w:val="007126A3"/>
    <w:rsid w:val="007252D6"/>
    <w:rsid w:val="0074127F"/>
    <w:rsid w:val="00773504"/>
    <w:rsid w:val="00775671"/>
    <w:rsid w:val="00784A11"/>
    <w:rsid w:val="00795F2D"/>
    <w:rsid w:val="007A19E1"/>
    <w:rsid w:val="007B376D"/>
    <w:rsid w:val="007B424A"/>
    <w:rsid w:val="007D36D4"/>
    <w:rsid w:val="007D4099"/>
    <w:rsid w:val="007E4B77"/>
    <w:rsid w:val="007F5118"/>
    <w:rsid w:val="008158EA"/>
    <w:rsid w:val="00823ACC"/>
    <w:rsid w:val="0082596B"/>
    <w:rsid w:val="00825C1B"/>
    <w:rsid w:val="00832CDE"/>
    <w:rsid w:val="00857453"/>
    <w:rsid w:val="00890F38"/>
    <w:rsid w:val="008954B7"/>
    <w:rsid w:val="008A7203"/>
    <w:rsid w:val="008B2E97"/>
    <w:rsid w:val="008C391B"/>
    <w:rsid w:val="008C6E46"/>
    <w:rsid w:val="008D3343"/>
    <w:rsid w:val="008F7DAE"/>
    <w:rsid w:val="00901F86"/>
    <w:rsid w:val="00904EBA"/>
    <w:rsid w:val="0090604F"/>
    <w:rsid w:val="00907933"/>
    <w:rsid w:val="009202E6"/>
    <w:rsid w:val="0092232B"/>
    <w:rsid w:val="009316B1"/>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3D38"/>
    <w:rsid w:val="00A34308"/>
    <w:rsid w:val="00A37564"/>
    <w:rsid w:val="00A45394"/>
    <w:rsid w:val="00A46FF2"/>
    <w:rsid w:val="00A515EB"/>
    <w:rsid w:val="00A54CA9"/>
    <w:rsid w:val="00A61B1F"/>
    <w:rsid w:val="00A668B6"/>
    <w:rsid w:val="00A960D0"/>
    <w:rsid w:val="00AC1B9C"/>
    <w:rsid w:val="00AC5156"/>
    <w:rsid w:val="00AD0114"/>
    <w:rsid w:val="00AD3765"/>
    <w:rsid w:val="00AD7DBD"/>
    <w:rsid w:val="00AD7E02"/>
    <w:rsid w:val="00AE5D87"/>
    <w:rsid w:val="00AE6C69"/>
    <w:rsid w:val="00B05FFC"/>
    <w:rsid w:val="00B10595"/>
    <w:rsid w:val="00B15A37"/>
    <w:rsid w:val="00B20254"/>
    <w:rsid w:val="00B328AD"/>
    <w:rsid w:val="00B41900"/>
    <w:rsid w:val="00B45240"/>
    <w:rsid w:val="00B74383"/>
    <w:rsid w:val="00B7642A"/>
    <w:rsid w:val="00B970D8"/>
    <w:rsid w:val="00BB54A5"/>
    <w:rsid w:val="00BE022B"/>
    <w:rsid w:val="00BF3492"/>
    <w:rsid w:val="00C02F6C"/>
    <w:rsid w:val="00C040DE"/>
    <w:rsid w:val="00C06049"/>
    <w:rsid w:val="00C2626F"/>
    <w:rsid w:val="00C46B87"/>
    <w:rsid w:val="00C73038"/>
    <w:rsid w:val="00C85828"/>
    <w:rsid w:val="00CB685A"/>
    <w:rsid w:val="00CD13E6"/>
    <w:rsid w:val="00CD40C5"/>
    <w:rsid w:val="00CF32A8"/>
    <w:rsid w:val="00CF7312"/>
    <w:rsid w:val="00D130CC"/>
    <w:rsid w:val="00D1758F"/>
    <w:rsid w:val="00D23BC7"/>
    <w:rsid w:val="00D3302E"/>
    <w:rsid w:val="00D35DA3"/>
    <w:rsid w:val="00D41A07"/>
    <w:rsid w:val="00D43323"/>
    <w:rsid w:val="00D47A4D"/>
    <w:rsid w:val="00D644B5"/>
    <w:rsid w:val="00D739E7"/>
    <w:rsid w:val="00D73A3C"/>
    <w:rsid w:val="00D85250"/>
    <w:rsid w:val="00D858FF"/>
    <w:rsid w:val="00D86549"/>
    <w:rsid w:val="00DA7688"/>
    <w:rsid w:val="00DB1FAB"/>
    <w:rsid w:val="00DB5794"/>
    <w:rsid w:val="00DC43AC"/>
    <w:rsid w:val="00DC7BDC"/>
    <w:rsid w:val="00DD1505"/>
    <w:rsid w:val="00DE3FE0"/>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EF27DA"/>
    <w:rsid w:val="00F262EB"/>
    <w:rsid w:val="00F46C0A"/>
    <w:rsid w:val="00F67475"/>
    <w:rsid w:val="00F746B7"/>
    <w:rsid w:val="00F861AB"/>
    <w:rsid w:val="00FC1AA0"/>
    <w:rsid w:val="00FC687D"/>
    <w:rsid w:val="00FD21E8"/>
    <w:rsid w:val="00FE20EB"/>
    <w:rsid w:val="00FE3349"/>
    <w:rsid w:val="00FE4D40"/>
    <w:rsid w:val="00FF22DC"/>
    <w:rsid w:val="1D7B6EC1"/>
    <w:rsid w:val="326556B6"/>
    <w:rsid w:val="6F4F0C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SDWM</Company>
  <Pages>4</Pages>
  <Words>775</Words>
  <Characters>4420</Characters>
  <Lines>36</Lines>
  <Paragraphs>10</Paragraphs>
  <TotalTime>0</TotalTime>
  <ScaleCrop>false</ScaleCrop>
  <LinksUpToDate>false</LinksUpToDate>
  <CharactersWithSpaces>5185</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2018-12-03T02:04:00Z</dcterms:created>
  <dc:creator>xiqiang yang</dc:creator>
  <cp:lastModifiedBy>QY</cp:lastModifiedBy>
  <cp:lastPrinted>2014-04-28T01:34:00Z</cp:lastPrinted>
  <dcterms:modified xsi:type="dcterms:W3CDTF">2018-12-04T06:18:28Z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