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r>
        <w:rPr>
          <w:rFonts w:hint="eastAsia" w:asciiTheme="minorEastAsia" w:hAnsiTheme="minorEastAsia" w:eastAsiaTheme="minorEastAsia" w:cstheme="minorEastAsia"/>
          <w:b/>
          <w:bCs/>
          <w:color w:val="000000"/>
          <w:sz w:val="32"/>
          <w:szCs w:val="32"/>
        </w:rPr>
        <w:t>西洋文学经典导读：古典到启蒙时期</w:t>
      </w:r>
      <w:bookmarkEnd w:id="0"/>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课程代码</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Code）</w:t>
            </w:r>
          </w:p>
        </w:tc>
        <w:tc>
          <w:tcPr>
            <w:tcW w:w="1265" w:type="dxa"/>
            <w:vAlign w:val="center"/>
          </w:tcPr>
          <w:p>
            <w:pPr>
              <w:rPr>
                <w:rFonts w:hint="eastAsia"/>
                <w:color w:val="000000" w:themeColor="text1"/>
                <w:w w:val="90"/>
                <w14:textFill>
                  <w14:solidFill>
                    <w14:schemeClr w14:val="tx1"/>
                  </w14:solidFill>
                </w14:textFill>
              </w:rPr>
            </w:pPr>
            <w:r>
              <w:rPr>
                <w:rFonts w:hint="eastAsia"/>
                <w:color w:val="000000" w:themeColor="text1"/>
                <w:w w:val="90"/>
                <w14:textFill>
                  <w14:solidFill>
                    <w14:schemeClr w14:val="tx1"/>
                  </w14:solidFill>
                </w14:textFill>
              </w:rPr>
              <w:t>L</w:t>
            </w:r>
            <w:r>
              <w:rPr>
                <w:color w:val="000000" w:themeColor="text1"/>
                <w:w w:val="90"/>
                <w14:textFill>
                  <w14:solidFill>
                    <w14:schemeClr w14:val="tx1"/>
                  </w14:solidFill>
                </w14:textFill>
              </w:rPr>
              <w:t>I908</w:t>
            </w:r>
          </w:p>
        </w:tc>
        <w:tc>
          <w:tcPr>
            <w:tcW w:w="151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学时</w:t>
            </w:r>
          </w:p>
          <w:p>
            <w:pPr>
              <w:jc w:val="center"/>
              <w:rPr>
                <w:color w:val="000000" w:themeColor="text1"/>
                <w:w w:val="90"/>
                <w14:textFill>
                  <w14:solidFill>
                    <w14:schemeClr w14:val="tx1"/>
                  </w14:solidFill>
                </w14:textFill>
              </w:rPr>
            </w:pPr>
            <w:r>
              <w:rPr>
                <w:color w:val="000000" w:themeColor="text1"/>
                <w:w w:val="90"/>
                <w14:textFill>
                  <w14:solidFill>
                    <w14:schemeClr w14:val="tx1"/>
                  </w14:solidFill>
                </w14:textFill>
              </w:rPr>
              <w:t>（Credit</w:t>
            </w:r>
            <w:r>
              <w:rPr>
                <w:rFonts w:hint="eastAsia"/>
                <w:color w:val="000000" w:themeColor="text1"/>
                <w:w w:val="90"/>
                <w14:textFill>
                  <w14:solidFill>
                    <w14:schemeClr w14:val="tx1"/>
                  </w14:solidFill>
                </w14:textFill>
              </w:rPr>
              <w:t xml:space="preserve"> Hours</w:t>
            </w:r>
            <w:r>
              <w:rPr>
                <w:color w:val="000000" w:themeColor="text1"/>
                <w:w w:val="90"/>
                <w14:textFill>
                  <w14:solidFill>
                    <w14:schemeClr w14:val="tx1"/>
                  </w14:solidFill>
                </w14:textFill>
              </w:rPr>
              <w:t>）</w:t>
            </w:r>
          </w:p>
        </w:tc>
        <w:tc>
          <w:tcPr>
            <w:tcW w:w="1477"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32 in class hours</w:t>
            </w:r>
          </w:p>
        </w:tc>
        <w:tc>
          <w:tcPr>
            <w:tcW w:w="1559"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学分</w:t>
            </w:r>
          </w:p>
          <w:p>
            <w:pPr>
              <w:jc w:val="center"/>
              <w:rPr>
                <w:color w:val="000000" w:themeColor="text1"/>
                <w14:textFill>
                  <w14:solidFill>
                    <w14:schemeClr w14:val="tx1"/>
                  </w14:solidFill>
                </w14:textFill>
              </w:rPr>
            </w:pPr>
            <w:r>
              <w:rPr>
                <w:color w:val="000000" w:themeColor="text1"/>
                <w14:textFill>
                  <w14:solidFill>
                    <w14:schemeClr w14:val="tx1"/>
                  </w14:solidFill>
                </w14:textFill>
              </w:rPr>
              <w:t>（Credits）</w:t>
            </w:r>
          </w:p>
        </w:tc>
        <w:tc>
          <w:tcPr>
            <w:tcW w:w="1702" w:type="dxa"/>
            <w:gridSpan w:val="2"/>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课程名称</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Name）</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（中文）</w:t>
            </w:r>
            <w:r>
              <w:rPr>
                <w:rFonts w:ascii="??" w:hAnsi="??"/>
                <w:color w:val="000000" w:themeColor="text1"/>
                <w:sz w:val="20"/>
                <w:szCs w:val="20"/>
                <w14:textFill>
                  <w14:solidFill>
                    <w14:schemeClr w14:val="tx1"/>
                  </w14:solidFill>
                </w14:textFill>
              </w:rPr>
              <w:t>西洋文学经典导读：古典到启蒙时</w:t>
            </w:r>
            <w:r>
              <w:rPr>
                <w:rFonts w:hint="eastAsia" w:ascii="PMingLiU" w:hAnsi="PMingLiU" w:eastAsia="PMingLiU" w:cs="PMingLiU"/>
                <w:color w:val="000000" w:themeColor="text1"/>
                <w:sz w:val="20"/>
                <w:szCs w:val="20"/>
                <w14:textFill>
                  <w14:solidFill>
                    <w14:schemeClr w14:val="tx1"/>
                  </w14:solidFill>
                </w14:textFill>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color w:val="000000" w:themeColor="text1"/>
                <w14:textFill>
                  <w14:solidFill>
                    <w14:schemeClr w14:val="tx1"/>
                  </w14:solidFill>
                </w14:textFill>
              </w:rPr>
            </w:pPr>
          </w:p>
        </w:tc>
        <w:tc>
          <w:tcPr>
            <w:tcW w:w="7518" w:type="dxa"/>
            <w:gridSpan w:val="7"/>
            <w:vAlign w:val="center"/>
          </w:tcPr>
          <w:p>
            <w:pPr>
              <w:widowControl/>
              <w:jc w:val="left"/>
              <w:rPr>
                <w:color w:val="000000" w:themeColor="text1"/>
                <w:kern w:val="0"/>
                <w:sz w:val="20"/>
                <w:szCs w:val="20"/>
                <w:lang w:eastAsia="zh-TW"/>
                <w14:textFill>
                  <w14:solidFill>
                    <w14:schemeClr w14:val="tx1"/>
                  </w14:solidFill>
                </w14:textFill>
              </w:rPr>
            </w:pPr>
            <w:r>
              <w:rPr>
                <w:rFonts w:hint="eastAsia"/>
                <w:color w:val="000000" w:themeColor="text1"/>
                <w14:textFill>
                  <w14:solidFill>
                    <w14:schemeClr w14:val="tx1"/>
                  </w14:solidFill>
                </w14:textFill>
              </w:rPr>
              <w:t>（英文）</w:t>
            </w:r>
            <w:r>
              <w:rPr>
                <w:color w:val="000000" w:themeColor="text1"/>
                <w:szCs w:val="21"/>
                <w14:textFill>
                  <w14:solidFill>
                    <w14:schemeClr w14:val="tx1"/>
                  </w14:solidFill>
                </w14:textFill>
              </w:rPr>
              <w:t>Classics of Western Literature: Antiquity to Enlightenment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课程性质</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(Course Type)</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General education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授课对象</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（Target Audience）</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Undergraduate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授课语言</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(Language of Instruction)</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*开课院系</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（School）</w:t>
            </w:r>
          </w:p>
        </w:tc>
        <w:tc>
          <w:tcPr>
            <w:tcW w:w="7518" w:type="dxa"/>
            <w:gridSpan w:val="7"/>
            <w:vAlign w:val="center"/>
          </w:tcPr>
          <w:p>
            <w:pPr>
              <w:jc w:val="lef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先修课程</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（Prerequisite）</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（Instructor）</w:t>
            </w:r>
          </w:p>
        </w:tc>
        <w:tc>
          <w:tcPr>
            <w:tcW w:w="2780" w:type="dxa"/>
            <w:gridSpan w:val="2"/>
            <w:vAlign w:val="center"/>
          </w:tcPr>
          <w:p>
            <w:pPr>
              <w:autoSpaceDE w:val="0"/>
              <w:autoSpaceDN w:val="0"/>
              <w:adjustRightInd w:val="0"/>
              <w:spacing w:after="240" w:line="480" w:lineRule="atLeast"/>
              <w:jc w:val="left"/>
              <w:rPr>
                <w:rFonts w:ascii="Times" w:hAnsi="Times" w:cs="Times"/>
                <w:color w:val="000000" w:themeColor="text1"/>
                <w:kern w:val="0"/>
                <w:sz w:val="22"/>
                <w14:textFill>
                  <w14:solidFill>
                    <w14:schemeClr w14:val="tx1"/>
                  </w14:solidFill>
                </w14:textFill>
              </w:rPr>
            </w:pPr>
            <w:r>
              <w:rPr>
                <w:color w:val="000000" w:themeColor="text1"/>
                <w14:textFill>
                  <w14:solidFill>
                    <w14:schemeClr w14:val="tx1"/>
                  </w14:solidFill>
                </w14:textFill>
              </w:rPr>
              <w:t>Henk Vynckier (</w:t>
            </w:r>
            <w:r>
              <w:rPr>
                <w:rFonts w:ascii="Times" w:hAnsi="Times" w:cs="Times"/>
                <w:color w:val="000000" w:themeColor="text1"/>
                <w:kern w:val="0"/>
                <w:sz w:val="22"/>
                <w14:textFill>
                  <w14:solidFill>
                    <w14:schemeClr w14:val="tx1"/>
                  </w14:solidFill>
                </w14:textFill>
              </w:rPr>
              <w:t>馮翰士</w:t>
            </w:r>
            <w:r>
              <w:rPr>
                <w:rFonts w:hint="eastAsia" w:ascii="Times" w:hAnsi="Times" w:cs="Times"/>
                <w:color w:val="000000" w:themeColor="text1"/>
                <w:kern w:val="0"/>
                <w:sz w:val="22"/>
                <w14:textFill>
                  <w14:solidFill>
                    <w14:schemeClr w14:val="tx1"/>
                  </w14:solidFill>
                </w14:textFill>
              </w:rPr>
              <w:t>)</w:t>
            </w:r>
          </w:p>
          <w:p>
            <w:pPr>
              <w:jc w:val="left"/>
              <w:rPr>
                <w:color w:val="000000" w:themeColor="text1"/>
                <w14:textFill>
                  <w14:solidFill>
                    <w14:schemeClr w14:val="tx1"/>
                  </w14:solidFill>
                </w14:textFill>
              </w:rPr>
            </w:pPr>
          </w:p>
        </w:tc>
        <w:tc>
          <w:tcPr>
            <w:tcW w:w="2095"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课程网址</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Course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ebpage</w:t>
            </w:r>
            <w:r>
              <w:rPr>
                <w:rFonts w:hint="eastAsia"/>
                <w:color w:val="000000" w:themeColor="text1"/>
                <w14:textFill>
                  <w14:solidFill>
                    <w14:schemeClr w14:val="tx1"/>
                  </w14:solidFill>
                </w14:textFill>
              </w:rPr>
              <w:t>)</w:t>
            </w:r>
          </w:p>
        </w:tc>
        <w:tc>
          <w:tcPr>
            <w:tcW w:w="2633" w:type="dxa"/>
            <w:gridSpan w:val="2"/>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STJU online page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vAlign w:val="center"/>
          </w:tcPr>
          <w:p>
            <w:pPr>
              <w:jc w:val="left"/>
              <w:rPr>
                <w:rFonts w:ascii="宋体" w:hAnsi="宋体" w:cs="PMingLiU"/>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Henk Vynckier开设的《西洋文学经典导读：古典到启蒙时</w:t>
            </w:r>
            <w:r>
              <w:rPr>
                <w:rFonts w:hint="eastAsia" w:ascii="宋体" w:hAnsi="宋体" w:cs="PMingLiU"/>
                <w:color w:val="000000" w:themeColor="text1"/>
                <w:sz w:val="20"/>
                <w:szCs w:val="20"/>
                <w14:textFill>
                  <w14:solidFill>
                    <w14:schemeClr w14:val="tx1"/>
                  </w14:solidFill>
                </w14:textFill>
              </w:rPr>
              <w:t>期》从伊索寓言开始介绍西洋文学的起源，到荷马史诗、圆桌武士的传奇，以及《七日谈》、《坎特伯里故事》和《失乐园》序章等重要文学著作。为了深度介绍这些欧洲各地的文学经典，</w:t>
            </w:r>
            <w:r>
              <w:rPr>
                <w:rFonts w:ascii="宋体" w:hAnsi="宋体" w:cs="PMingLiU"/>
                <w:color w:val="000000" w:themeColor="text1"/>
                <w:sz w:val="20"/>
                <w:szCs w:val="20"/>
                <w14:textFill>
                  <w14:solidFill>
                    <w14:schemeClr w14:val="tx1"/>
                  </w14:solidFill>
                </w14:textFill>
              </w:rPr>
              <w:t>Vynckier</w:t>
            </w:r>
            <w:r>
              <w:rPr>
                <w:rFonts w:hint="eastAsia" w:ascii="宋体" w:hAnsi="宋体" w:cs="PMingLiU"/>
                <w:color w:val="000000" w:themeColor="text1"/>
                <w:sz w:val="20"/>
                <w:szCs w:val="20"/>
                <w14:textFill>
                  <w14:solidFill>
                    <w14:schemeClr w14:val="tx1"/>
                  </w14:solidFill>
                </w14:textFill>
              </w:rPr>
              <w:t>以其比利时籍教授的语言优势，从英文、法文、德文的语言解释其文本和文人的历史渊源。而</w:t>
            </w:r>
            <w:r>
              <w:rPr>
                <w:rFonts w:ascii="宋体" w:hAnsi="宋体" w:cs="PMingLiU"/>
                <w:color w:val="000000" w:themeColor="text1"/>
                <w:sz w:val="20"/>
                <w:szCs w:val="20"/>
                <w14:textFill>
                  <w14:solidFill>
                    <w14:schemeClr w14:val="tx1"/>
                  </w14:solidFill>
                </w14:textFill>
              </w:rPr>
              <w:t>Vynckier</w:t>
            </w:r>
            <w:r>
              <w:rPr>
                <w:rFonts w:hint="eastAsia" w:ascii="宋体" w:hAnsi="宋体" w:cs="PMingLiU"/>
                <w:color w:val="000000" w:themeColor="text1"/>
                <w:sz w:val="20"/>
                <w:szCs w:val="20"/>
                <w14:textFill>
                  <w14:solidFill>
                    <w14:schemeClr w14:val="tx1"/>
                  </w14:solidFill>
                </w14:textFill>
              </w:rPr>
              <w:t>又通晓中文，所以同时又可以使用中文解释艰涩难懂的关键文学概念。</w:t>
            </w:r>
          </w:p>
          <w:p>
            <w:pPr>
              <w:jc w:val="left"/>
              <w:rPr>
                <w:rFonts w:ascii="宋体" w:hAnsi="宋体" w:cs="PMingLiU"/>
                <w:color w:val="000000" w:themeColor="text1"/>
                <w:sz w:val="20"/>
                <w:szCs w:val="20"/>
                <w14:textFill>
                  <w14:solidFill>
                    <w14:schemeClr w14:val="tx1"/>
                  </w14:solidFill>
                </w14:textFill>
              </w:rPr>
            </w:pPr>
          </w:p>
          <w:p>
            <w:pPr>
              <w:jc w:val="left"/>
              <w:rPr>
                <w:rFonts w:ascii="宋体" w:hAnsi="宋体" w:cs="PMingLiU"/>
                <w:color w:val="000000" w:themeColor="text1"/>
                <w:sz w:val="20"/>
                <w:szCs w:val="20"/>
                <w14:textFill>
                  <w14:solidFill>
                    <w14:schemeClr w14:val="tx1"/>
                  </w14:solidFill>
                </w14:textFill>
              </w:rPr>
            </w:pPr>
            <w:r>
              <w:rPr>
                <w:rFonts w:hint="eastAsia" w:ascii="宋体" w:hAnsi="宋体" w:cs="PMingLiU"/>
                <w:color w:val="000000" w:themeColor="text1"/>
                <w:sz w:val="20"/>
                <w:szCs w:val="20"/>
                <w14:textFill>
                  <w14:solidFill>
                    <w14:schemeClr w14:val="tx1"/>
                  </w14:solidFill>
                </w14:textFill>
              </w:rPr>
              <w:t>本课程已在</w:t>
            </w:r>
            <w:r>
              <w:rPr>
                <w:rFonts w:ascii="宋体" w:hAnsi="宋体" w:cs="PMingLiU"/>
                <w:color w:val="000000" w:themeColor="text1"/>
                <w:sz w:val="20"/>
                <w:szCs w:val="20"/>
                <w14:textFill>
                  <w14:solidFill>
                    <w14:schemeClr w14:val="tx1"/>
                  </w14:solidFill>
                </w14:textFill>
              </w:rPr>
              <w:t>2018</w:t>
            </w:r>
            <w:r>
              <w:rPr>
                <w:rFonts w:hint="eastAsia" w:ascii="宋体" w:hAnsi="宋体" w:cs="PMingLiU"/>
                <w:color w:val="000000" w:themeColor="text1"/>
                <w:sz w:val="20"/>
                <w:szCs w:val="20"/>
                <w14:textFill>
                  <w14:solidFill>
                    <w14:schemeClr w14:val="tx1"/>
                  </w14:solidFill>
                </w14:textFill>
              </w:rPr>
              <w:t>夏季小学期开设，有</w:t>
            </w:r>
            <w:r>
              <w:rPr>
                <w:rFonts w:ascii="宋体" w:hAnsi="宋体" w:cs="PMingLiU"/>
                <w:color w:val="000000" w:themeColor="text1"/>
                <w:sz w:val="20"/>
                <w:szCs w:val="20"/>
                <w14:textFill>
                  <w14:solidFill>
                    <w14:schemeClr w14:val="tx1"/>
                  </w14:solidFill>
                </w14:textFill>
              </w:rPr>
              <w:t>36</w:t>
            </w:r>
            <w:r>
              <w:rPr>
                <w:rFonts w:hint="eastAsia" w:ascii="宋体" w:hAnsi="宋体" w:cs="PMingLiU"/>
                <w:color w:val="000000" w:themeColor="text1"/>
                <w:sz w:val="20"/>
                <w:szCs w:val="20"/>
                <w14:textFill>
                  <w14:solidFill>
                    <w14:schemeClr w14:val="tx1"/>
                  </w14:solidFill>
                </w14:textFill>
              </w:rPr>
              <w:t>名学生选课，每周会有小型写作练习，</w:t>
            </w:r>
            <w:r>
              <w:rPr>
                <w:rFonts w:ascii="宋体" w:hAnsi="宋体" w:cs="PMingLiU"/>
                <w:color w:val="000000" w:themeColor="text1"/>
                <w:sz w:val="20"/>
                <w:szCs w:val="20"/>
                <w14:textFill>
                  <w14:solidFill>
                    <w14:schemeClr w14:val="tx1"/>
                  </w14:solidFill>
                </w14:textFill>
              </w:rPr>
              <w:t>Vynckier</w:t>
            </w:r>
            <w:r>
              <w:rPr>
                <w:rFonts w:hint="eastAsia" w:ascii="宋体" w:hAnsi="宋体" w:cs="PMingLiU"/>
                <w:color w:val="000000" w:themeColor="text1"/>
                <w:sz w:val="20"/>
                <w:szCs w:val="20"/>
                <w14:textFill>
                  <w14:solidFill>
                    <w14:schemeClr w14:val="tx1"/>
                  </w14:solidFill>
                </w14:textFill>
              </w:rPr>
              <w:t>会每周批改作业，并且指导学生英文写作技巧和报告技巧。</w:t>
            </w:r>
          </w:p>
          <w:p>
            <w:pPr>
              <w:jc w:val="left"/>
              <w:rPr>
                <w:rFonts w:ascii="宋体" w:hAnsi="宋体" w:cs="PMingLiU"/>
                <w:color w:val="000000" w:themeColor="text1"/>
                <w:sz w:val="20"/>
                <w:szCs w:val="20"/>
                <w14:textFill>
                  <w14:solidFill>
                    <w14:schemeClr w14:val="tx1"/>
                  </w14:solidFill>
                </w14:textFill>
              </w:rPr>
            </w:pPr>
          </w:p>
          <w:p>
            <w:pPr>
              <w:rPr>
                <w:color w:val="000000" w:themeColor="text1"/>
                <w14:textFill>
                  <w14:solidFill>
                    <w14:schemeClr w14:val="tx1"/>
                  </w14:solidFill>
                </w14:textFill>
              </w:rPr>
            </w:pPr>
            <w:r>
              <w:rPr>
                <w:rFonts w:hint="eastAsia" w:ascii="宋体" w:hAnsi="宋体" w:cs="PMingLiU"/>
                <w:color w:val="000000" w:themeColor="text1"/>
                <w:sz w:val="20"/>
                <w:szCs w:val="20"/>
                <w14:textFill>
                  <w14:solidFill>
                    <w14:schemeClr w14:val="tx1"/>
                  </w14:solidFill>
                </w14:textFill>
              </w:rPr>
              <w:t>这是一门综合欧洲主要语言、文学和英文报告及写作的综合型课程，特别适合交大理工学生想要对西方文学经典有兴趣且极欲了解全盘样貌的通识课程。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rPr>
                <w:color w:val="000000" w:themeColor="text1"/>
                <w14:textFill>
                  <w14:solidFill>
                    <w14:schemeClr w14:val="tx1"/>
                  </w14:solidFill>
                </w14:textFill>
              </w:rPr>
            </w:pPr>
            <w:r>
              <w:rPr>
                <w:color w:val="000000" w:themeColor="text1"/>
                <w:szCs w:val="21"/>
                <w14:textFill>
                  <w14:solidFill>
                    <w14:schemeClr w14:val="tx1"/>
                  </w14:solidFill>
                </w14:textFill>
              </w:rPr>
              <w:t xml:space="preserve">This course introduces students to the greatest writers and masterpieces of Western literature from Antiquity to the age of the Enlightenment. To achieve this goal, it covers a variety of genres, including myth, epics, history, biography, essays, fiction, and poems, and proceeds chronologically from the origins of Western literature in the Ancient Mediterranean to the Middle Ages, Renaissance, and Enlightenment. </w:t>
            </w:r>
            <w:r>
              <w:rPr>
                <w:color w:val="000000" w:themeColor="text1"/>
                <w:kern w:val="0"/>
                <w:szCs w:val="21"/>
                <w:lang w:eastAsia="zh-TW"/>
                <w14:textFill>
                  <w14:solidFill>
                    <w14:schemeClr w14:val="tx1"/>
                  </w14:solidFill>
                </w14:textFill>
              </w:rPr>
              <w:t>S</w:t>
            </w:r>
            <w:r>
              <w:rPr>
                <w:color w:val="000000" w:themeColor="text1"/>
                <w:szCs w:val="21"/>
                <w14:textFill>
                  <w14:solidFill>
                    <w14:schemeClr w14:val="tx1"/>
                  </w14:solidFill>
                </w14:textFill>
              </w:rPr>
              <w:t xml:space="preserve">tudents read the texts in English and study the most influential texts in the Western literary canon. </w:t>
            </w:r>
            <w:r>
              <w:rPr>
                <w:rFonts w:eastAsia="Times New Roman"/>
                <w:color w:val="000000" w:themeColor="text1"/>
                <w:kern w:val="0"/>
                <w:szCs w:val="21"/>
                <w:shd w:val="clear" w:color="auto" w:fill="FFFFFF"/>
                <w:lang w:eastAsia="zh-TW"/>
                <w14:textFill>
                  <w14:solidFill>
                    <w14:schemeClr w14:val="tx1"/>
                  </w14:solidFill>
                </w14:textFill>
              </w:rPr>
              <w:t>In doing so, they examine how the concept of “West/Western” has evolved over time and how the definition of what constitutes “literature” was revised continually in the context of different periods and civilizations: Greco-Roman civilization, Judeo-Christian civilization, the Middle Ages, Renaissance, and the Enlightenment. Students also consider that, while Western literature involves many different peoples and nations, there are interesting connections and continuities between the great authors and major national literatures within the Western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课程教学大纲（C</w:t>
            </w:r>
            <w:r>
              <w:rPr>
                <w:color w:val="000000" w:themeColor="text1"/>
                <w14:textFill>
                  <w14:solidFill>
                    <w14:schemeClr w14:val="tx1"/>
                  </w14:solidFill>
                </w14:textFill>
              </w:rPr>
              <w:t xml:space="preserve">ourse </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yllabus</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*学习目标</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(Learning Outcomes)</w:t>
            </w:r>
          </w:p>
        </w:tc>
        <w:tc>
          <w:tcPr>
            <w:tcW w:w="7518" w:type="dxa"/>
            <w:gridSpan w:val="7"/>
            <w:vAlign w:val="center"/>
          </w:tcPr>
          <w:p>
            <w:pPr>
              <w:rPr>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kern w:val="0"/>
                <w:szCs w:val="21"/>
                <w14:textFill>
                  <w14:solidFill>
                    <w14:schemeClr w14:val="tx1"/>
                  </w14:solidFill>
                </w14:textFill>
              </w:rPr>
              <w:t xml:space="preserve">Study the history of Western civilization through its literature and examine how the  </w:t>
            </w:r>
          </w:p>
          <w:p>
            <w:pP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concept of the West has evolved over the centuries.</w:t>
            </w:r>
          </w:p>
          <w:p>
            <w:pP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 Acquire a good understanding of canonical Western literature from antiquity to the</w:t>
            </w:r>
          </w:p>
          <w:p>
            <w:pP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eighteenth century.</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 Study the origin and development of important literary genres such as the epic,</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history writing, biography, the picaresque novel, utopian fiction, satire, and so</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forth.</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4. Consider how the notion of the canon, that is, the understanding of which texts </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and authors make up the most important and influential writings of a specific</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literary tradition or civilization, changes over time.</w:t>
            </w:r>
          </w:p>
          <w:p>
            <w:pPr>
              <w:jc w:val="left"/>
              <w:rPr>
                <w:color w:val="000000" w:themeColor="text1"/>
                <w:kern w:val="0"/>
                <w:szCs w:val="21"/>
                <w14:textFill>
                  <w14:solidFill>
                    <w14:schemeClr w14:val="tx1"/>
                  </w14:solidFill>
                </w14:textFill>
              </w:rPr>
            </w:pPr>
            <w:r>
              <w:rPr>
                <w:rFonts w:eastAsia="MS Mincho"/>
                <w:color w:val="000000" w:themeColor="text1"/>
                <w:kern w:val="0"/>
                <w:szCs w:val="21"/>
                <w14:textFill>
                  <w14:solidFill>
                    <w14:schemeClr w14:val="tx1"/>
                  </w14:solidFill>
                </w14:textFill>
              </w:rPr>
              <w:t xml:space="preserve">5. </w:t>
            </w:r>
            <w:r>
              <w:rPr>
                <w:color w:val="000000" w:themeColor="text1"/>
                <w:kern w:val="0"/>
                <w:szCs w:val="21"/>
                <w14:textFill>
                  <w14:solidFill>
                    <w14:schemeClr w14:val="tx1"/>
                  </w14:solidFill>
                </w14:textFill>
              </w:rPr>
              <w:t xml:space="preserve">Reflect on the ways in which Western literature differs from Chinese/Asian </w:t>
            </w:r>
          </w:p>
          <w:p>
            <w:pPr>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literature and develop new comparative, critical or interdisciplinary approaches</w:t>
            </w:r>
          </w:p>
          <w:p>
            <w:pPr>
              <w:jc w:val="left"/>
              <w:rPr>
                <w:rFonts w:hint="eastAsia"/>
                <w:color w:val="000000" w:themeColor="text1"/>
                <w14:textFill>
                  <w14:solidFill>
                    <w14:schemeClr w14:val="tx1"/>
                  </w14:solidFill>
                </w14:textFill>
              </w:rPr>
            </w:pPr>
            <w:r>
              <w:rPr>
                <w:color w:val="000000" w:themeColor="text1"/>
                <w:kern w:val="0"/>
                <w:szCs w:val="21"/>
                <w14:textFill>
                  <w14:solidFill>
                    <w14:schemeClr w14:val="tx1"/>
                  </w14:solidFill>
                </w14:textFill>
              </w:rPr>
              <w:t xml:space="preserve">   with an East-West perspective. </w:t>
            </w:r>
            <w:r>
              <w:rPr>
                <w:rFonts w:ascii="MS Mincho" w:hAnsi="MS Mincho" w:eastAsia="MS Mincho" w:cs="MS Mincho"/>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进度安排及要求</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Class Schedule</w:t>
            </w:r>
            <w:r>
              <w:rPr>
                <w:rFonts w:hint="eastAsia"/>
                <w:color w:val="000000" w:themeColor="text1"/>
                <w14:textFill>
                  <w14:solidFill>
                    <w14:schemeClr w14:val="tx1"/>
                  </w14:solidFill>
                </w14:textFill>
              </w:rPr>
              <w:t xml:space="preserve"> &amp;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tc>
              <w:tc>
                <w:tcPr>
                  <w:tcW w:w="81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学时</w:t>
                  </w:r>
                </w:p>
              </w:tc>
              <w:tc>
                <w:tcPr>
                  <w:tcW w:w="1334"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教学方式</w:t>
                  </w:r>
                </w:p>
              </w:tc>
              <w:tc>
                <w:tcPr>
                  <w:tcW w:w="1355"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作业及要求</w:t>
                  </w:r>
                </w:p>
              </w:tc>
              <w:tc>
                <w:tcPr>
                  <w:tcW w:w="1146"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基本要求</w:t>
                  </w:r>
                </w:p>
              </w:tc>
              <w:tc>
                <w:tcPr>
                  <w:tcW w:w="1162"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1: Class 1: Introduction and Antiquity</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In class readings</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1: Class 2: Antiquity</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 (before class)</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2: Class 1: Middle Ages</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2: Class 2: Middle Ages</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3: Class 1: Renaissance</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3: Class 2: Renaissance</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4: Class 1: Enlightenment</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No</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Week 4: Class 2: Enlightenment</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1-5 PM</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Lecture and Discussion</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Reading assignment</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Attendance and Participation</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Open Book Exam</w:t>
                  </w:r>
                </w:p>
              </w:tc>
            </w:tr>
          </w:tbl>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*考核方式 (Grading)</w:t>
            </w:r>
          </w:p>
        </w:tc>
        <w:tc>
          <w:tcPr>
            <w:tcW w:w="7518" w:type="dxa"/>
            <w:gridSpan w:val="7"/>
            <w:vAlign w:val="center"/>
          </w:tcPr>
          <w:p>
            <w:pPr>
              <w:spacing w:after="156" w:afterLines="50"/>
              <w:jc w:val="left"/>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Writing Assignments: 60 % (4 assignments x 15 %)</w:t>
            </w:r>
          </w:p>
          <w:p>
            <w:pPr>
              <w:spacing w:after="156" w:afterLines="50"/>
              <w:jc w:val="left"/>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Open Book Final Exam: 30 %</w:t>
            </w:r>
          </w:p>
          <w:p>
            <w:pPr>
              <w:jc w:val="left"/>
              <w:rPr>
                <w:color w:val="000000" w:themeColor="text1"/>
                <w14:textFill>
                  <w14:solidFill>
                    <w14:schemeClr w14:val="tx1"/>
                  </w14:solidFill>
                </w14:textFill>
              </w:rPr>
            </w:pPr>
            <w:r>
              <w:rPr>
                <w:rFonts w:eastAsia="仿宋_GB2312"/>
                <w:color w:val="000000" w:themeColor="text1"/>
                <w:szCs w:val="21"/>
                <w14:textFill>
                  <w14:solidFill>
                    <w14:schemeClr w14:val="tx1"/>
                  </w14:solidFill>
                </w14:textFill>
              </w:rPr>
              <w:t>Class attendance and participation: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*教材或参考资料(Textbooks &amp; Other Materials)</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The instructor will create a reader with text selections and references for use in class. Learning materials and supplementary materials and references will also be posted on the university online teaching/learning platform.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其它（More）</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SJTU is welcome to video record the course for archival purposes if that should be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备注（Notes）</w:t>
            </w:r>
          </w:p>
        </w:tc>
        <w:tc>
          <w:tcPr>
            <w:tcW w:w="7518" w:type="dxa"/>
            <w:gridSpan w:val="7"/>
            <w:vAlign w:val="center"/>
          </w:tcPr>
          <w:p>
            <w:pPr>
              <w:jc w:val="center"/>
              <w:rPr>
                <w:color w:val="000000" w:themeColor="text1"/>
                <w14:textFill>
                  <w14:solidFill>
                    <w14:schemeClr w14:val="tx1"/>
                  </w14:solidFill>
                </w14:textFill>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
    <w:altName w:val="Cambria"/>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仿宋_GB2312">
    <w:panose1 w:val="02010609030101010101"/>
    <w:charset w:val="86"/>
    <w:family w:val="modern"/>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0FE2"/>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15D6B"/>
    <w:rsid w:val="00625DD3"/>
    <w:rsid w:val="00647F8A"/>
    <w:rsid w:val="00656964"/>
    <w:rsid w:val="00663B60"/>
    <w:rsid w:val="00686943"/>
    <w:rsid w:val="006A13AE"/>
    <w:rsid w:val="006D3645"/>
    <w:rsid w:val="006F1849"/>
    <w:rsid w:val="006F49C1"/>
    <w:rsid w:val="00705456"/>
    <w:rsid w:val="00707583"/>
    <w:rsid w:val="007252D6"/>
    <w:rsid w:val="0074127F"/>
    <w:rsid w:val="00773313"/>
    <w:rsid w:val="00784A11"/>
    <w:rsid w:val="00795F2D"/>
    <w:rsid w:val="007A19E1"/>
    <w:rsid w:val="007B376D"/>
    <w:rsid w:val="007D4099"/>
    <w:rsid w:val="007E4B77"/>
    <w:rsid w:val="007F7FFA"/>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092"/>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0631A"/>
    <w:rsid w:val="00C2626F"/>
    <w:rsid w:val="00C46B87"/>
    <w:rsid w:val="00C73038"/>
    <w:rsid w:val="00C85828"/>
    <w:rsid w:val="00CB685A"/>
    <w:rsid w:val="00CD60FD"/>
    <w:rsid w:val="00CF3273"/>
    <w:rsid w:val="00CF32A8"/>
    <w:rsid w:val="00CF7312"/>
    <w:rsid w:val="00D12584"/>
    <w:rsid w:val="00D130CC"/>
    <w:rsid w:val="00D1758F"/>
    <w:rsid w:val="00D23BC7"/>
    <w:rsid w:val="00D41A07"/>
    <w:rsid w:val="00D43323"/>
    <w:rsid w:val="00D47A4D"/>
    <w:rsid w:val="00D644B5"/>
    <w:rsid w:val="00D73A3C"/>
    <w:rsid w:val="00D85250"/>
    <w:rsid w:val="00D858FF"/>
    <w:rsid w:val="00DA7688"/>
    <w:rsid w:val="00DB5794"/>
    <w:rsid w:val="00DB65C3"/>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11894"/>
    <w:rsid w:val="00F262EB"/>
    <w:rsid w:val="00F46C0A"/>
    <w:rsid w:val="00F67475"/>
    <w:rsid w:val="00F746B7"/>
    <w:rsid w:val="00FC1AA0"/>
    <w:rsid w:val="00FC687D"/>
    <w:rsid w:val="00FD329C"/>
    <w:rsid w:val="00FE20EB"/>
    <w:rsid w:val="00FE3349"/>
    <w:rsid w:val="00FE4D40"/>
    <w:rsid w:val="00FF22DC"/>
    <w:rsid w:val="1D7B6EC1"/>
    <w:rsid w:val="326556B6"/>
    <w:rsid w:val="62A871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字符"/>
    <w:basedOn w:val="5"/>
    <w:link w:val="2"/>
    <w:semiHidden/>
    <w:qFormat/>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665</Words>
  <Characters>3797</Characters>
  <Lines>31</Lines>
  <Paragraphs>8</Paragraphs>
  <TotalTime>0</TotalTime>
  <ScaleCrop>false</ScaleCrop>
  <LinksUpToDate>false</LinksUpToDate>
  <CharactersWithSpaces>4454</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2018-11-18T06:19:00Z</dcterms:created>
  <dc:creator>xiqiang yang</dc:creator>
  <cp:lastModifiedBy>QY</cp:lastModifiedBy>
  <cp:lastPrinted>2014-04-28T01:34:00Z</cp:lastPrinted>
  <dcterms:modified xsi:type="dcterms:W3CDTF">2018-12-04T07:03:30Z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