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rFonts w:hint="eastAsia"/>
          <w:b/>
          <w:sz w:val="32"/>
          <w:szCs w:val="32"/>
          <w:lang w:eastAsia="zh-CN"/>
        </w:rPr>
        <w:t>《</w:t>
      </w:r>
      <w:bookmarkStart w:id="0" w:name="_GoBack"/>
      <w:r>
        <w:rPr>
          <w:rFonts w:hint="eastAsia"/>
          <w:b/>
          <w:sz w:val="32"/>
          <w:szCs w:val="32"/>
          <w:lang w:val="en-US" w:eastAsia="zh-CN"/>
        </w:rPr>
        <w:t>公共危机中的化学</w:t>
      </w:r>
      <w:bookmarkEnd w:id="0"/>
      <w:r>
        <w:rPr>
          <w:rFonts w:hint="eastAsia"/>
          <w:b/>
          <w:sz w:val="32"/>
          <w:szCs w:val="32"/>
          <w:lang w:eastAsia="zh-CN"/>
        </w:rPr>
        <w:t>》</w:t>
      </w:r>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hint="eastAsia" w:eastAsiaTheme="minorEastAsia"/>
                <w:w w:val="90"/>
                <w:lang w:val="en-US" w:eastAsia="zh-CN"/>
              </w:rPr>
            </w:pPr>
            <w:r>
              <w:rPr>
                <w:rFonts w:hint="eastAsia"/>
                <w:w w:val="90"/>
                <w:lang w:val="en-US" w:eastAsia="zh-CN"/>
              </w:rPr>
              <w:t>CA904</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jc w:val="center"/>
              <w:rPr>
                <w:rFonts w:hint="eastAsia" w:eastAsiaTheme="minorEastAsia"/>
                <w:lang w:val="en-US" w:eastAsia="zh-CN"/>
              </w:rPr>
            </w:pP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Theme="minorEastAsia"/>
                <w:color w:val="00B050"/>
                <w:lang w:val="en-US" w:eastAsia="zh-CN"/>
              </w:rPr>
            </w:pPr>
            <w:r>
              <w:rPr>
                <w:rFonts w:hint="eastAsia"/>
                <w:color w:va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rFonts w:hint="eastAsia" w:eastAsiaTheme="minorEastAsia"/>
                <w:color w:val="00B050"/>
                <w:lang w:val="en-US" w:eastAsia="zh-CN"/>
              </w:rPr>
            </w:pPr>
            <w:r>
              <w:rPr>
                <w:rFonts w:hint="eastAsia"/>
                <w:color w:val="auto"/>
                <w:lang w:val="en-US" w:eastAsia="zh-CN"/>
              </w:rPr>
              <w:t>公共危机中的化学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rPr>
                <w:color w:val="00B050"/>
              </w:rPr>
            </w:pPr>
            <w:r>
              <w:rPr>
                <w:rFonts w:eastAsia="楷体"/>
                <w:sz w:val="24"/>
              </w:rPr>
              <w:t>The Chemical Problem in the Public Crisis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left"/>
              <w:rPr>
                <w:color w:val="auto"/>
              </w:rPr>
            </w:pPr>
            <w:r>
              <w:rPr>
                <w:rFonts w:hint="eastAsia"/>
                <w:color w:val="auto"/>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jc w:val="left"/>
              <w:rPr>
                <w:rFonts w:hint="eastAsia" w:eastAsiaTheme="minorEastAsia"/>
                <w:color w:val="auto"/>
                <w:lang w:val="en-US" w:eastAsia="zh-CN"/>
              </w:rPr>
            </w:pPr>
            <w:r>
              <w:rPr>
                <w:rFonts w:hint="eastAsia"/>
                <w:color w:val="auto"/>
                <w:lang w:val="en-US" w:eastAsia="zh-CN"/>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rPr>
                <w:rFonts w:hint="eastAsia" w:eastAsiaTheme="minorEastAsia"/>
                <w:color w:val="auto"/>
                <w:lang w:val="en-US" w:eastAsia="zh-CN"/>
              </w:rPr>
            </w:pPr>
            <w:r>
              <w:rPr>
                <w:rFonts w:hint="eastAsia"/>
                <w:color w:val="auto"/>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left"/>
              <w:rPr>
                <w:rFonts w:hint="eastAsia" w:eastAsiaTheme="minorEastAsia"/>
                <w:color w:val="auto"/>
                <w:lang w:val="en-US" w:eastAsia="zh-CN"/>
              </w:rPr>
            </w:pPr>
            <w:r>
              <w:rPr>
                <w:rFonts w:hint="eastAsia"/>
                <w:color w:val="auto"/>
                <w:lang w:val="en-US" w:eastAsia="zh-CN"/>
              </w:rPr>
              <w:t>化工学院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left"/>
              <w:rPr>
                <w:rFonts w:hint="eastAsia" w:eastAsiaTheme="minorEastAsia"/>
                <w:color w:val="auto"/>
                <w:lang w:val="en-US" w:eastAsia="zh-CN"/>
              </w:rPr>
            </w:pPr>
            <w:r>
              <w:rPr>
                <w:rFonts w:hint="eastAsia"/>
                <w:color w:val="auto"/>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left"/>
              <w:rPr>
                <w:rFonts w:hint="eastAsia" w:eastAsiaTheme="minorEastAsia"/>
                <w:lang w:val="en-US" w:eastAsia="zh-CN"/>
              </w:rPr>
            </w:pPr>
            <w:r>
              <w:rPr>
                <w:rFonts w:hint="eastAsia"/>
                <w:lang w:val="en-US" w:eastAsia="zh-CN"/>
              </w:rPr>
              <w:t>仇毅翔</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rPr>
                <w:rFonts w:hint="eastAsia" w:eastAsiaTheme="minorEastAsia"/>
                <w:lang w:val="en-US" w:eastAsia="zh-CN"/>
              </w:rPr>
            </w:pPr>
            <w:r>
              <w:rPr>
                <w:rFonts w:hint="eastAsia"/>
                <w:color w:val="FF0000"/>
              </w:rPr>
              <w:t>*</w:t>
            </w:r>
            <w:r>
              <w:rPr>
                <w:rFonts w:hint="eastAsia"/>
              </w:rPr>
              <w:t>课程简介</w:t>
            </w:r>
            <w:r>
              <w:rPr>
                <w:rFonts w:hint="eastAsia"/>
                <w:w w:val="90"/>
              </w:rPr>
              <w:t>（Description）</w:t>
            </w:r>
            <w:r>
              <w:rPr>
                <w:rFonts w:hint="eastAsia"/>
                <w:w w:val="90"/>
                <w:lang w:val="en-US" w:eastAsia="zh-CN"/>
              </w:rPr>
              <w:t xml:space="preserve"> </w:t>
            </w:r>
          </w:p>
        </w:tc>
        <w:tc>
          <w:tcPr>
            <w:tcW w:w="7518" w:type="dxa"/>
            <w:gridSpan w:val="7"/>
            <w:vAlign w:val="center"/>
          </w:tcPr>
          <w:p>
            <w:pPr>
              <w:keepNext w:val="0"/>
              <w:keepLines w:val="0"/>
              <w:pageBreakBefore w:val="0"/>
              <w:widowControl w:val="0"/>
              <w:kinsoku/>
              <w:wordWrap/>
              <w:overflowPunct/>
              <w:topLinePunct w:val="0"/>
              <w:autoSpaceDE/>
              <w:autoSpaceDN/>
              <w:bidi w:val="0"/>
              <w:adjustRightInd/>
              <w:snapToGrid/>
              <w:spacing w:line="300" w:lineRule="auto"/>
              <w:ind w:left="6" w:leftChars="0" w:firstLine="388" w:firstLineChars="185"/>
              <w:textAlignment w:val="auto"/>
              <w:outlineLvl w:val="9"/>
              <w:rPr>
                <w:rFonts w:hint="eastAsia" w:asciiTheme="minorEastAsia" w:hAnsiTheme="minorEastAsia" w:eastAsiaTheme="minorEastAsia" w:cstheme="minorEastAsia"/>
                <w:sz w:val="21"/>
                <w:szCs w:val="21"/>
                <w:lang w:eastAsia="zh-CN"/>
              </w:rPr>
            </w:pPr>
          </w:p>
          <w:p>
            <w:pPr>
              <w:keepNext w:val="0"/>
              <w:keepLines w:val="0"/>
              <w:pageBreakBefore w:val="0"/>
              <w:widowControl w:val="0"/>
              <w:kinsoku/>
              <w:wordWrap/>
              <w:overflowPunct/>
              <w:topLinePunct w:val="0"/>
              <w:autoSpaceDE/>
              <w:autoSpaceDN/>
              <w:bidi w:val="0"/>
              <w:adjustRightInd/>
              <w:snapToGrid/>
              <w:spacing w:line="300" w:lineRule="auto"/>
              <w:ind w:left="6" w:leftChars="0" w:firstLine="388" w:firstLineChars="185"/>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公共危机中的化学》</w:t>
            </w:r>
            <w:r>
              <w:rPr>
                <w:rFonts w:hint="eastAsia" w:asciiTheme="minorEastAsia" w:hAnsiTheme="minorEastAsia" w:eastAsiaTheme="minorEastAsia" w:cstheme="minorEastAsia"/>
                <w:sz w:val="21"/>
                <w:szCs w:val="21"/>
                <w:lang w:val="en-US" w:eastAsia="zh-CN"/>
              </w:rPr>
              <w:t>主要</w:t>
            </w:r>
            <w:r>
              <w:rPr>
                <w:rFonts w:hint="eastAsia" w:asciiTheme="minorEastAsia" w:hAnsiTheme="minorEastAsia" w:eastAsiaTheme="minorEastAsia" w:cstheme="minorEastAsia"/>
                <w:sz w:val="21"/>
                <w:szCs w:val="21"/>
              </w:rPr>
              <w:t>面向我校非化学专业的文、理同学开设，拟通过对大量公共危机事件的案例分析和背景知识介绍，向学生传授隐藏在这些公共危机背后的化学知识，带领学生从化学工作者的角度看待此类危机的发生机制、发展脉络、处理方法与防治手段，从独特的视角去认识化学这一基础自然学科对于人类社会健康发展的重要性，了解化学学科的发展前沿。与其他化学课程相比，《公共危机中的化学》更加关注化学与社会问题之间的关系，讨论化学在其中所起到的关键作用，同时也带来对化学的理性思考。</w:t>
            </w:r>
          </w:p>
          <w:p>
            <w:pPr>
              <w:keepNext w:val="0"/>
              <w:keepLines w:val="0"/>
              <w:pageBreakBefore w:val="0"/>
              <w:widowControl w:val="0"/>
              <w:kinsoku/>
              <w:wordWrap/>
              <w:overflowPunct/>
              <w:topLinePunct w:val="0"/>
              <w:autoSpaceDE/>
              <w:autoSpaceDN/>
              <w:bidi w:val="0"/>
              <w:adjustRightInd/>
              <w:snapToGrid/>
              <w:spacing w:line="300" w:lineRule="auto"/>
              <w:ind w:left="6" w:leftChars="0" w:firstLine="388" w:firstLineChars="185"/>
              <w:textAlignment w:val="auto"/>
              <w:outlineLvl w:val="9"/>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spacing w:line="300" w:lineRule="auto"/>
              <w:ind w:firstLine="420" w:firstLineChars="175"/>
              <w:rPr>
                <w:rFonts w:eastAsia="楷体"/>
                <w:sz w:val="24"/>
              </w:rPr>
            </w:pPr>
          </w:p>
          <w:p>
            <w:pPr>
              <w:spacing w:line="300" w:lineRule="auto"/>
              <w:ind w:firstLine="420" w:firstLineChars="175"/>
              <w:rPr>
                <w:rFonts w:eastAsia="楷体"/>
                <w:sz w:val="24"/>
              </w:rPr>
            </w:pPr>
            <w:r>
              <w:rPr>
                <w:rFonts w:eastAsia="楷体"/>
                <w:sz w:val="24"/>
              </w:rPr>
              <w:t>“The Chemical Problem in the Public Crisis Events” is intended for non-chemistry students opened. This course through the case analysis of a large number of public crisis events, introduce chemical knowledge hidden behind these public crisis events. Teachers will lead students to think of such a crisis from the perspective of chemist, and discuss the mechanism, development, treatment and prevention methods of crisis. From this course, we will recognize the importance of chemical for the healthy development of human society, and learn about the development of the chemistry. Compared with other chemistry courses, this course is more concerned about the relationship between chemistry and social issues, to discuss the key role played by chemistry in which, and guide students to rational thinking on chemistry.</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pPr>
              <w:spacing w:line="240" w:lineRule="auto"/>
              <w:ind w:firstLine="420" w:firstLineChars="200"/>
              <w:rPr>
                <w:rFonts w:hint="eastAsia"/>
                <w:color w:val="auto"/>
                <w:sz w:val="21"/>
                <w:szCs w:val="21"/>
              </w:rPr>
            </w:pP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right="11" w:rightChars="0"/>
              <w:jc w:val="left"/>
              <w:textAlignment w:val="auto"/>
              <w:outlineLvl w:val="9"/>
              <w:rPr>
                <w:rStyle w:val="5"/>
                <w:rFonts w:cs="宋体"/>
                <w:color w:val="auto"/>
                <w:kern w:val="0"/>
                <w:sz w:val="21"/>
                <w:szCs w:val="21"/>
              </w:rPr>
            </w:pPr>
            <w:r>
              <w:rPr>
                <w:rStyle w:val="5"/>
                <w:rFonts w:hint="eastAsia" w:cs="宋体"/>
                <w:color w:val="auto"/>
                <w:kern w:val="0"/>
                <w:sz w:val="21"/>
                <w:szCs w:val="21"/>
                <w:lang w:val="en-US" w:eastAsia="zh-CN"/>
              </w:rPr>
              <w:t>从</w:t>
            </w:r>
            <w:r>
              <w:rPr>
                <w:rStyle w:val="5"/>
                <w:rFonts w:cs="宋体"/>
                <w:color w:val="auto"/>
                <w:kern w:val="0"/>
                <w:sz w:val="21"/>
                <w:szCs w:val="21"/>
              </w:rPr>
              <w:t>独特的视角去认识</w:t>
            </w:r>
            <w:r>
              <w:rPr>
                <w:rStyle w:val="5"/>
                <w:rFonts w:hint="eastAsia" w:cs="宋体"/>
                <w:color w:val="auto"/>
                <w:kern w:val="0"/>
                <w:sz w:val="21"/>
                <w:szCs w:val="21"/>
                <w:lang w:val="en-US" w:eastAsia="zh-CN"/>
              </w:rPr>
              <w:t>与理解</w:t>
            </w:r>
            <w:r>
              <w:rPr>
                <w:rStyle w:val="5"/>
                <w:rFonts w:cs="宋体"/>
                <w:color w:val="auto"/>
                <w:kern w:val="0"/>
                <w:sz w:val="21"/>
                <w:szCs w:val="21"/>
              </w:rPr>
              <w:t>化学这一基础自然学科对于人类社会健康发展的重要性，从而拓宽学生的知识面、提高自身科学素养。</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right="11" w:rightChars="0"/>
              <w:jc w:val="left"/>
              <w:textAlignment w:val="auto"/>
              <w:outlineLvl w:val="9"/>
              <w:rPr>
                <w:rStyle w:val="5"/>
                <w:rFonts w:cs="宋体"/>
                <w:color w:val="auto"/>
                <w:kern w:val="0"/>
                <w:sz w:val="21"/>
                <w:szCs w:val="21"/>
              </w:rPr>
            </w:pPr>
            <w:r>
              <w:rPr>
                <w:rStyle w:val="5"/>
                <w:rFonts w:cs="宋体"/>
                <w:color w:val="auto"/>
                <w:kern w:val="0"/>
                <w:sz w:val="21"/>
                <w:szCs w:val="21"/>
              </w:rPr>
              <w:t>了解危险化学品的分布与迁移状况，揭示不同化学品危机的起源；</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right="11" w:rightChars="0"/>
              <w:jc w:val="left"/>
              <w:textAlignment w:val="auto"/>
              <w:outlineLvl w:val="9"/>
              <w:rPr>
                <w:rStyle w:val="5"/>
                <w:rFonts w:cs="宋体"/>
                <w:color w:val="auto"/>
                <w:kern w:val="0"/>
                <w:sz w:val="21"/>
                <w:szCs w:val="21"/>
              </w:rPr>
            </w:pPr>
            <w:r>
              <w:rPr>
                <w:rStyle w:val="5"/>
                <w:rFonts w:cs="宋体"/>
                <w:color w:val="auto"/>
                <w:kern w:val="0"/>
                <w:sz w:val="21"/>
                <w:szCs w:val="21"/>
              </w:rPr>
              <w:t>学习化学物质的鉴别方法，了解色谱、核磁共振、红外、质谱等常用检验仪器的基本原理；</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right="11" w:rightChars="0"/>
              <w:jc w:val="left"/>
              <w:textAlignment w:val="auto"/>
              <w:outlineLvl w:val="9"/>
              <w:rPr>
                <w:rFonts w:hint="eastAsia"/>
                <w:color w:val="auto"/>
                <w:sz w:val="21"/>
                <w:szCs w:val="21"/>
              </w:rPr>
            </w:pPr>
            <w:r>
              <w:rPr>
                <w:rStyle w:val="5"/>
                <w:rFonts w:cs="宋体"/>
                <w:color w:val="auto"/>
                <w:kern w:val="0"/>
                <w:sz w:val="21"/>
                <w:szCs w:val="21"/>
              </w:rPr>
              <w:t>了解化学品危机的处理方法与防治手段，能够根据化学品性质选择恰当的处置措施；</w:t>
            </w:r>
          </w:p>
          <w:p>
            <w:pPr>
              <w:keepNext w:val="0"/>
              <w:keepLines w:val="0"/>
              <w:pageBreakBefore w:val="0"/>
              <w:widowControl/>
              <w:numPr>
                <w:ilvl w:val="0"/>
                <w:numId w:val="1"/>
              </w:numPr>
              <w:kinsoku/>
              <w:wordWrap/>
              <w:overflowPunct/>
              <w:topLinePunct w:val="0"/>
              <w:autoSpaceDE/>
              <w:autoSpaceDN/>
              <w:bidi w:val="0"/>
              <w:adjustRightInd/>
              <w:snapToGrid/>
              <w:spacing w:line="300" w:lineRule="auto"/>
              <w:ind w:right="11" w:rightChars="0"/>
              <w:jc w:val="left"/>
              <w:textAlignment w:val="auto"/>
              <w:outlineLvl w:val="9"/>
              <w:rPr>
                <w:rFonts w:hint="eastAsia"/>
                <w:color w:val="auto"/>
                <w:sz w:val="21"/>
                <w:szCs w:val="21"/>
              </w:rPr>
            </w:pPr>
            <w:r>
              <w:rPr>
                <w:rFonts w:hint="eastAsia"/>
                <w:color w:val="auto"/>
                <w:sz w:val="21"/>
                <w:szCs w:val="21"/>
              </w:rPr>
              <w:t>结合课程内容开展有利于学生“批判性思维”能力培养的教学活动  围绕课程知识点开展批判性思维活动，将批判性思维的培养与专业课程教学相融合，并以此实现训练学生批判性思维技能、培养学生批判性思维能力的目标。</w:t>
            </w:r>
          </w:p>
          <w:p>
            <w:pPr>
              <w:rPr>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both"/>
            </w:pPr>
            <w:r>
              <w:rPr>
                <w:rFonts w:hint="eastAsia"/>
                <w:color w:val="C00000"/>
              </w:rPr>
              <w:t>*</w:t>
            </w:r>
            <w:r>
              <w:rPr>
                <w:rFonts w:hint="eastAsia"/>
              </w:rPr>
              <w:t>教学内容</w:t>
            </w:r>
          </w:p>
          <w:p>
            <w:pPr>
              <w:spacing w:line="460" w:lineRule="exact"/>
              <w:jc w:val="both"/>
            </w:pPr>
            <w:r>
              <w:rPr>
                <w:rFonts w:hint="eastAsia"/>
              </w:rPr>
              <w:t>进度安排及要求</w:t>
            </w:r>
          </w:p>
          <w:p>
            <w:pPr>
              <w:spacing w:line="460" w:lineRule="exact"/>
              <w:jc w:val="left"/>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756"/>
              <w:gridCol w:w="990"/>
              <w:gridCol w:w="1089"/>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1456" w:type="dxa"/>
                  <w:vAlign w:val="center"/>
                </w:tcPr>
                <w:p>
                  <w:pPr>
                    <w:jc w:val="center"/>
                    <w:rPr>
                      <w:rFonts w:cs="宋体"/>
                      <w:color w:val="000000"/>
                      <w:kern w:val="0"/>
                      <w:szCs w:val="21"/>
                    </w:rPr>
                  </w:pPr>
                  <w:r>
                    <w:rPr>
                      <w:rFonts w:hint="eastAsia" w:cs="宋体"/>
                      <w:color w:val="000000"/>
                      <w:kern w:val="0"/>
                      <w:szCs w:val="21"/>
                    </w:rPr>
                    <w:t>教学内容</w:t>
                  </w:r>
                </w:p>
              </w:tc>
              <w:tc>
                <w:tcPr>
                  <w:tcW w:w="816" w:type="dxa"/>
                  <w:vAlign w:val="center"/>
                </w:tcPr>
                <w:p>
                  <w:pPr>
                    <w:jc w:val="center"/>
                    <w:rPr>
                      <w:rFonts w:cs="宋体"/>
                      <w:color w:val="000000"/>
                      <w:kern w:val="0"/>
                      <w:szCs w:val="21"/>
                    </w:rPr>
                  </w:pPr>
                  <w:r>
                    <w:rPr>
                      <w:rFonts w:hint="eastAsia" w:cs="宋体"/>
                      <w:color w:val="000000"/>
                      <w:kern w:val="0"/>
                      <w:szCs w:val="21"/>
                    </w:rPr>
                    <w:t>学时</w:t>
                  </w:r>
                </w:p>
              </w:tc>
              <w:tc>
                <w:tcPr>
                  <w:tcW w:w="1756" w:type="dxa"/>
                  <w:vAlign w:val="center"/>
                </w:tcPr>
                <w:p>
                  <w:pPr>
                    <w:jc w:val="center"/>
                    <w:rPr>
                      <w:rFonts w:cs="宋体"/>
                      <w:color w:val="000000"/>
                      <w:kern w:val="0"/>
                      <w:szCs w:val="21"/>
                    </w:rPr>
                  </w:pPr>
                  <w:r>
                    <w:rPr>
                      <w:rFonts w:hint="eastAsia" w:cs="宋体"/>
                      <w:color w:val="000000"/>
                      <w:kern w:val="0"/>
                      <w:szCs w:val="21"/>
                    </w:rPr>
                    <w:t>教学方式</w:t>
                  </w:r>
                </w:p>
              </w:tc>
              <w:tc>
                <w:tcPr>
                  <w:tcW w:w="990" w:type="dxa"/>
                  <w:vAlign w:val="center"/>
                </w:tcPr>
                <w:p>
                  <w:pPr>
                    <w:jc w:val="center"/>
                    <w:rPr>
                      <w:rFonts w:cs="宋体"/>
                      <w:color w:val="000000"/>
                      <w:kern w:val="0"/>
                      <w:szCs w:val="21"/>
                    </w:rPr>
                  </w:pPr>
                  <w:r>
                    <w:rPr>
                      <w:rFonts w:hint="eastAsia" w:cs="宋体"/>
                      <w:color w:val="000000"/>
                      <w:kern w:val="0"/>
                      <w:szCs w:val="21"/>
                    </w:rPr>
                    <w:t>作业及要求</w:t>
                  </w:r>
                </w:p>
              </w:tc>
              <w:tc>
                <w:tcPr>
                  <w:tcW w:w="1089" w:type="dxa"/>
                  <w:vAlign w:val="center"/>
                </w:tcPr>
                <w:p>
                  <w:pPr>
                    <w:jc w:val="center"/>
                    <w:rPr>
                      <w:rFonts w:cs="宋体"/>
                      <w:color w:val="000000"/>
                      <w:kern w:val="0"/>
                      <w:szCs w:val="21"/>
                    </w:rPr>
                  </w:pPr>
                  <w:r>
                    <w:rPr>
                      <w:rFonts w:hint="eastAsia" w:cs="宋体"/>
                      <w:color w:val="000000"/>
                      <w:kern w:val="0"/>
                      <w:szCs w:val="21"/>
                    </w:rPr>
                    <w:t>基本要求</w:t>
                  </w:r>
                </w:p>
              </w:tc>
              <w:tc>
                <w:tcPr>
                  <w:tcW w:w="1162" w:type="dxa"/>
                  <w:vAlign w:val="center"/>
                </w:tcPr>
                <w:p>
                  <w:pPr>
                    <w:jc w:val="center"/>
                    <w:rPr>
                      <w:rFonts w:cs="宋体"/>
                      <w:color w:val="000000"/>
                      <w:kern w:val="0"/>
                      <w:szCs w:val="21"/>
                    </w:rPr>
                  </w:pPr>
                  <w:r>
                    <w:rPr>
                      <w:rFonts w:hint="eastAsia" w:cs="宋体"/>
                      <w:color w:val="000000"/>
                      <w:kern w:val="0"/>
                      <w:szCs w:val="21"/>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r>
                    <w:rPr>
                      <w:rFonts w:cs="宋体"/>
                      <w:color w:val="000000"/>
                      <w:kern w:val="0"/>
                      <w:szCs w:val="21"/>
                    </w:rPr>
                    <w:t>1、绪论</w:t>
                  </w:r>
                </w:p>
              </w:tc>
              <w:tc>
                <w:tcPr>
                  <w:tcW w:w="816" w:type="dxa"/>
                  <w:vAlign w:val="center"/>
                </w:tcPr>
                <w:p>
                  <w:pPr>
                    <w:jc w:val="center"/>
                  </w:pPr>
                  <w:r>
                    <w:t>2</w:t>
                  </w:r>
                </w:p>
              </w:tc>
              <w:tc>
                <w:tcPr>
                  <w:tcW w:w="1756" w:type="dxa"/>
                  <w:vAlign w:val="center"/>
                </w:tcPr>
                <w:p>
                  <w:pPr>
                    <w:jc w:val="center"/>
                  </w:pPr>
                  <w:r>
                    <w:rPr>
                      <w:rFonts w:hint="eastAsia"/>
                    </w:rPr>
                    <w:t>课堂讲授</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r>
                    <w:rPr>
                      <w:rFonts w:cs="宋体"/>
                      <w:color w:val="000000"/>
                      <w:kern w:val="0"/>
                      <w:szCs w:val="21"/>
                    </w:rPr>
                    <w:t>2、</w:t>
                  </w:r>
                  <w:r>
                    <w:rPr>
                      <w:rFonts w:hint="eastAsia" w:cs="宋体"/>
                      <w:color w:val="000000"/>
                      <w:kern w:val="0"/>
                      <w:szCs w:val="21"/>
                    </w:rPr>
                    <w:t>环境生态</w:t>
                  </w:r>
                </w:p>
              </w:tc>
              <w:tc>
                <w:tcPr>
                  <w:tcW w:w="816" w:type="dxa"/>
                  <w:vAlign w:val="center"/>
                </w:tcPr>
                <w:p>
                  <w:pPr>
                    <w:jc w:val="center"/>
                  </w:pPr>
                  <w:r>
                    <w:t>6</w:t>
                  </w:r>
                </w:p>
              </w:tc>
              <w:tc>
                <w:tcPr>
                  <w:tcW w:w="1756" w:type="dxa"/>
                  <w:vAlign w:val="center"/>
                </w:tcPr>
                <w:p>
                  <w:pPr>
                    <w:jc w:val="center"/>
                    <w:rPr>
                      <w:rFonts w:hint="eastAsia" w:eastAsiaTheme="minorEastAsia"/>
                      <w:lang w:val="en-US" w:eastAsia="zh-CN"/>
                    </w:rPr>
                  </w:pPr>
                  <w:r>
                    <w:rPr>
                      <w:rFonts w:hint="eastAsia"/>
                    </w:rPr>
                    <w:t>课堂讲授</w:t>
                  </w:r>
                  <w:r>
                    <w:rPr>
                      <w:rFonts w:hint="eastAsia"/>
                      <w:lang w:val="en-US" w:eastAsia="zh-CN"/>
                    </w:rPr>
                    <w:t>+讨论</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r>
                    <w:rPr>
                      <w:rFonts w:cs="宋体"/>
                      <w:color w:val="000000"/>
                      <w:kern w:val="0"/>
                      <w:szCs w:val="21"/>
                    </w:rPr>
                    <w:t>3、</w:t>
                  </w:r>
                  <w:r>
                    <w:rPr>
                      <w:rFonts w:hint="eastAsia" w:cs="宋体"/>
                      <w:color w:val="000000"/>
                      <w:kern w:val="0"/>
                      <w:szCs w:val="21"/>
                    </w:rPr>
                    <w:t>食品安全</w:t>
                  </w:r>
                </w:p>
              </w:tc>
              <w:tc>
                <w:tcPr>
                  <w:tcW w:w="816" w:type="dxa"/>
                  <w:vAlign w:val="center"/>
                </w:tcPr>
                <w:p>
                  <w:pPr>
                    <w:jc w:val="center"/>
                  </w:pPr>
                  <w:r>
                    <w:t>6</w:t>
                  </w:r>
                </w:p>
              </w:tc>
              <w:tc>
                <w:tcPr>
                  <w:tcW w:w="1756" w:type="dxa"/>
                  <w:vAlign w:val="center"/>
                </w:tcPr>
                <w:p>
                  <w:pPr>
                    <w:jc w:val="center"/>
                  </w:pPr>
                  <w:r>
                    <w:rPr>
                      <w:rFonts w:hint="eastAsia"/>
                    </w:rPr>
                    <w:t>课堂讲授</w:t>
                  </w:r>
                  <w:r>
                    <w:rPr>
                      <w:rFonts w:hint="eastAsia"/>
                      <w:lang w:val="en-US" w:eastAsia="zh-CN"/>
                    </w:rPr>
                    <w:t>+讨论</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r>
                    <w:rPr>
                      <w:rFonts w:cs="宋体"/>
                      <w:color w:val="000000"/>
                      <w:kern w:val="0"/>
                      <w:szCs w:val="21"/>
                    </w:rPr>
                    <w:t>4、合成药物</w:t>
                  </w:r>
                </w:p>
              </w:tc>
              <w:tc>
                <w:tcPr>
                  <w:tcW w:w="816" w:type="dxa"/>
                  <w:vAlign w:val="center"/>
                </w:tcPr>
                <w:p>
                  <w:pPr>
                    <w:jc w:val="center"/>
                  </w:pPr>
                  <w:r>
                    <w:t>6</w:t>
                  </w:r>
                </w:p>
              </w:tc>
              <w:tc>
                <w:tcPr>
                  <w:tcW w:w="1756" w:type="dxa"/>
                  <w:vAlign w:val="center"/>
                </w:tcPr>
                <w:p>
                  <w:pPr>
                    <w:jc w:val="center"/>
                  </w:pPr>
                  <w:r>
                    <w:rPr>
                      <w:rFonts w:hint="eastAsia"/>
                    </w:rPr>
                    <w:t>课堂讲授</w:t>
                  </w:r>
                  <w:r>
                    <w:rPr>
                      <w:rFonts w:hint="eastAsia"/>
                      <w:lang w:val="en-US" w:eastAsia="zh-CN"/>
                    </w:rPr>
                    <w:t>+讨论</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r>
                    <w:rPr>
                      <w:rFonts w:cs="宋体"/>
                      <w:color w:val="000000"/>
                      <w:kern w:val="0"/>
                      <w:szCs w:val="21"/>
                    </w:rPr>
                    <w:t>5、恐怖事件</w:t>
                  </w:r>
                </w:p>
              </w:tc>
              <w:tc>
                <w:tcPr>
                  <w:tcW w:w="816" w:type="dxa"/>
                  <w:vAlign w:val="center"/>
                </w:tcPr>
                <w:p>
                  <w:pPr>
                    <w:jc w:val="center"/>
                  </w:pPr>
                  <w:r>
                    <w:t>6</w:t>
                  </w:r>
                </w:p>
              </w:tc>
              <w:tc>
                <w:tcPr>
                  <w:tcW w:w="1756" w:type="dxa"/>
                  <w:vAlign w:val="center"/>
                </w:tcPr>
                <w:p>
                  <w:pPr>
                    <w:jc w:val="center"/>
                  </w:pPr>
                  <w:r>
                    <w:rPr>
                      <w:rFonts w:hint="eastAsia"/>
                    </w:rPr>
                    <w:t>课堂讲授</w:t>
                  </w:r>
                  <w:r>
                    <w:rPr>
                      <w:rFonts w:hint="eastAsia"/>
                      <w:lang w:val="en-US" w:eastAsia="zh-CN"/>
                    </w:rPr>
                    <w:t>+讨论</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rPr>
                      <w:rFonts w:hint="eastAsia" w:eastAsiaTheme="minorEastAsia"/>
                      <w:lang w:val="en-US" w:eastAsia="zh-CN"/>
                    </w:rPr>
                  </w:pPr>
                  <w:r>
                    <w:rPr>
                      <w:rFonts w:hint="eastAsia"/>
                      <w:lang w:val="en-US" w:eastAsia="zh-CN"/>
                    </w:rPr>
                    <w:t>6、课程报告</w:t>
                  </w:r>
                </w:p>
              </w:tc>
              <w:tc>
                <w:tcPr>
                  <w:tcW w:w="816" w:type="dxa"/>
                  <w:vAlign w:val="center"/>
                </w:tcPr>
                <w:p>
                  <w:pPr>
                    <w:jc w:val="center"/>
                    <w:rPr>
                      <w:rFonts w:hint="eastAsia" w:eastAsiaTheme="minorEastAsia"/>
                      <w:lang w:val="en-US" w:eastAsia="zh-CN"/>
                    </w:rPr>
                  </w:pPr>
                  <w:r>
                    <w:rPr>
                      <w:rFonts w:hint="eastAsia"/>
                      <w:lang w:val="en-US" w:eastAsia="zh-CN"/>
                    </w:rPr>
                    <w:t>6</w:t>
                  </w:r>
                </w:p>
              </w:tc>
              <w:tc>
                <w:tcPr>
                  <w:tcW w:w="1756" w:type="dxa"/>
                  <w:vAlign w:val="center"/>
                </w:tcPr>
                <w:p>
                  <w:pPr>
                    <w:jc w:val="center"/>
                  </w:pPr>
                  <w:r>
                    <w:rPr>
                      <w:rFonts w:hint="eastAsia"/>
                      <w:lang w:val="en-US" w:eastAsia="zh-CN"/>
                    </w:rPr>
                    <w:t>小组</w:t>
                  </w:r>
                  <w:r>
                    <w:rPr>
                      <w:rFonts w:hint="eastAsia"/>
                    </w:rPr>
                    <w:t>作业汇报</w:t>
                  </w: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756" w:type="dxa"/>
                  <w:vAlign w:val="center"/>
                </w:tcPr>
                <w:p>
                  <w:pPr>
                    <w:jc w:val="center"/>
                  </w:pP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756" w:type="dxa"/>
                  <w:vAlign w:val="center"/>
                </w:tcPr>
                <w:p>
                  <w:pPr>
                    <w:jc w:val="center"/>
                  </w:pP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p>
              </w:tc>
              <w:tc>
                <w:tcPr>
                  <w:tcW w:w="816" w:type="dxa"/>
                  <w:vAlign w:val="center"/>
                </w:tcPr>
                <w:p>
                  <w:pPr>
                    <w:jc w:val="center"/>
                  </w:pPr>
                </w:p>
              </w:tc>
              <w:tc>
                <w:tcPr>
                  <w:tcW w:w="1756" w:type="dxa"/>
                  <w:vAlign w:val="center"/>
                </w:tcPr>
                <w:p>
                  <w:pPr>
                    <w:jc w:val="center"/>
                  </w:pPr>
                </w:p>
              </w:tc>
              <w:tc>
                <w:tcPr>
                  <w:tcW w:w="990" w:type="dxa"/>
                  <w:vAlign w:val="center"/>
                </w:tcPr>
                <w:p>
                  <w:pPr>
                    <w:jc w:val="center"/>
                  </w:pPr>
                </w:p>
              </w:tc>
              <w:tc>
                <w:tcPr>
                  <w:tcW w:w="1089"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spacing w:line="300" w:lineRule="auto"/>
              <w:rPr>
                <w:rFonts w:hint="eastAsia" w:eastAsiaTheme="minorEastAsia"/>
                <w:color w:val="auto"/>
                <w:lang w:val="en-US" w:eastAsia="zh-CN"/>
              </w:rPr>
            </w:pPr>
            <w:r>
              <w:rPr>
                <w:rFonts w:hint="eastAsia"/>
              </w:rPr>
              <w:t>课堂参与：20%；</w:t>
            </w:r>
            <w:r>
              <w:rPr>
                <w:rFonts w:hint="eastAsia"/>
              </w:rPr>
              <w:tab/>
            </w:r>
            <w:r>
              <w:rPr>
                <w:rFonts w:hint="eastAsia"/>
              </w:rPr>
              <w:t>小组作业：50%；</w:t>
            </w:r>
            <w:r>
              <w:rPr>
                <w:rFonts w:hint="eastAsia"/>
              </w:rPr>
              <w:tab/>
            </w:r>
            <w:r>
              <w:rPr>
                <w:rFonts w:hint="eastAsia"/>
              </w:rPr>
              <w:t>作业汇报：30%。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rPr>
            </w:pPr>
            <w:r>
              <w:rPr>
                <w:rFonts w:hint="eastAsia"/>
                <w:color w:val="auto"/>
              </w:rPr>
              <w:t>公共危机管理，王宏伟，中国人民大学出版社，2012</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szCs w:val="21"/>
                <w:lang w:val="en-GB"/>
              </w:rPr>
            </w:pPr>
            <w:r>
              <w:rPr>
                <w:rFonts w:hint="eastAsia"/>
                <w:color w:val="auto"/>
                <w:szCs w:val="21"/>
                <w:lang w:val="en-GB"/>
              </w:rPr>
              <w:t>化学与社会，Lucy</w:t>
            </w:r>
            <w:r>
              <w:rPr>
                <w:color w:val="auto"/>
                <w:szCs w:val="21"/>
                <w:lang w:val="en-GB"/>
              </w:rPr>
              <w:t xml:space="preserve"> Pryde Eubanks</w:t>
            </w:r>
            <w:r>
              <w:rPr>
                <w:rFonts w:hint="eastAsia"/>
                <w:color w:val="auto"/>
                <w:szCs w:val="21"/>
                <w:lang w:val="en-GB"/>
              </w:rPr>
              <w:t>等著，段连运等译，化学工业出版社，2008</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lang w:val="en-US" w:eastAsia="zh-CN"/>
              </w:rPr>
            </w:pPr>
            <w:r>
              <w:rPr>
                <w:rFonts w:hint="eastAsia"/>
                <w:color w:val="auto"/>
              </w:rPr>
              <w:t>牛顿科学馆：生活中的化学（第二版）</w:t>
            </w:r>
            <w:r>
              <w:rPr>
                <w:rFonts w:hint="eastAsia"/>
                <w:color w:val="auto"/>
                <w:lang w:eastAsia="zh-CN"/>
              </w:rPr>
              <w:t>，张英锋，马子川编， 北京师范大学出版社，</w:t>
            </w:r>
            <w:r>
              <w:rPr>
                <w:rFonts w:hint="eastAsia"/>
                <w:color w:val="auto"/>
                <w:lang w:val="en-US" w:eastAsia="zh-CN"/>
              </w:rPr>
              <w:t>2017</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lang w:val="en-US" w:eastAsia="zh-CN"/>
              </w:rPr>
            </w:pPr>
            <w:r>
              <w:rPr>
                <w:rFonts w:hint="eastAsia"/>
                <w:color w:val="auto"/>
                <w:lang w:eastAsia="zh-CN"/>
              </w:rPr>
              <w:t>改变地球的化学，大卫·E.</w:t>
            </w:r>
            <w:r>
              <w:rPr>
                <w:rFonts w:hint="eastAsia"/>
                <w:color w:val="auto"/>
                <w:lang w:val="en-US" w:eastAsia="zh-CN"/>
              </w:rPr>
              <w:t xml:space="preserve"> </w:t>
            </w:r>
            <w:r>
              <w:rPr>
                <w:rFonts w:hint="eastAsia"/>
                <w:color w:val="auto"/>
                <w:lang w:eastAsia="zh-CN"/>
              </w:rPr>
              <w:t>牛顿著，陈松译，上海科学技术文献出版社，</w:t>
            </w:r>
            <w:r>
              <w:rPr>
                <w:rFonts w:hint="eastAsia"/>
                <w:color w:val="auto"/>
                <w:lang w:val="en-US" w:eastAsia="zh-CN"/>
              </w:rPr>
              <w:t>2014</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rPr>
          <w:rFonts w:hint="eastAsia"/>
        </w:rPr>
      </w:pPr>
      <w:r>
        <w:rPr>
          <w:rFonts w:hint="eastAsia"/>
        </w:rPr>
        <w:t>2．课程简介字数为300-500字；课程大纲以表述清楚教学安排为宜，字数不限。</w:t>
      </w:r>
    </w:p>
    <w:p>
      <w:pPr>
        <w:spacing w:line="400" w:lineRule="exact"/>
        <w:rPr>
          <w:rFonts w:hint="eastAsi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roma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iconfont">
    <w:altName w:val="Segoe Print"/>
    <w:panose1 w:val="00000000000000000000"/>
    <w:charset w:val="00"/>
    <w:family w:val="auto"/>
    <w:pitch w:val="default"/>
    <w:sig w:usb0="00000000" w:usb1="00000000" w:usb2="00000000" w:usb3="00000000" w:csb0="00000000" w:csb1="00000000"/>
  </w:font>
  <w:font w:name="Impact">
    <w:panose1 w:val="020B0806030902050204"/>
    <w:charset w:val="00"/>
    <w:family w:val="auto"/>
    <w:pitch w:val="default"/>
    <w:sig w:usb0="00000287" w:usb1="00000000" w:usb2="00000000" w:usb3="00000000" w:csb0="2000009F" w:csb1="DFD70000"/>
  </w:font>
  <w:font w:name="fzzzh">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微软雅黑 Light">
    <w:panose1 w:val="020B0502040204020203"/>
    <w:charset w:val="86"/>
    <w:family w:val="auto"/>
    <w:pitch w:val="default"/>
    <w:sig w:usb0="A00002BF" w:usb1="28CF001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w:t>
    </w:r>
    <w:r>
      <w:rPr>
        <w:rFonts w:hint="eastAsia"/>
        <w:lang w:val="en-US" w:eastAsia="zh-CN"/>
      </w:rPr>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5BF5D"/>
    <w:multiLevelType w:val="singleLevel"/>
    <w:tmpl w:val="5445BF5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058913CE"/>
    <w:rsid w:val="0DCA7523"/>
    <w:rsid w:val="0EF854F6"/>
    <w:rsid w:val="11607FEF"/>
    <w:rsid w:val="14C8054F"/>
    <w:rsid w:val="1AFB0191"/>
    <w:rsid w:val="1D7B6EC1"/>
    <w:rsid w:val="20975B99"/>
    <w:rsid w:val="27655D50"/>
    <w:rsid w:val="2D0B685C"/>
    <w:rsid w:val="326556B6"/>
    <w:rsid w:val="39714A74"/>
    <w:rsid w:val="3C3C47C3"/>
    <w:rsid w:val="40AF7757"/>
    <w:rsid w:val="43923D56"/>
    <w:rsid w:val="444E32E1"/>
    <w:rsid w:val="518E242B"/>
    <w:rsid w:val="5DF009C8"/>
    <w:rsid w:val="61581DE2"/>
    <w:rsid w:val="6E250407"/>
    <w:rsid w:val="6F455D73"/>
    <w:rsid w:val="7B0B4D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6"/>
    <w:unhideWhenUsed/>
    <w:qFormat/>
    <w:uiPriority w:val="99"/>
    <w:pPr>
      <w:tabs>
        <w:tab w:val="center" w:pos="4153"/>
        <w:tab w:val="right" w:pos="8306"/>
      </w:tabs>
      <w:snapToGrid w:val="0"/>
      <w:jc w:val="left"/>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FollowedHyperlink"/>
    <w:basedOn w:val="5"/>
    <w:semiHidden/>
    <w:unhideWhenUsed/>
    <w:uiPriority w:val="99"/>
    <w:rPr>
      <w:color w:val="336699"/>
      <w:u w:val="none"/>
    </w:rPr>
  </w:style>
  <w:style w:type="character" w:styleId="8">
    <w:name w:val="Emphasis"/>
    <w:basedOn w:val="5"/>
    <w:qFormat/>
    <w:uiPriority w:val="20"/>
  </w:style>
  <w:style w:type="character" w:styleId="9">
    <w:name w:val="Hyperlink"/>
    <w:basedOn w:val="5"/>
    <w:semiHidden/>
    <w:unhideWhenUsed/>
    <w:qFormat/>
    <w:uiPriority w:val="99"/>
    <w:rPr>
      <w:color w:val="0000FF"/>
      <w:u w:val="none"/>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2">
    <w:name w:val="List Paragraph"/>
    <w:basedOn w:val="1"/>
    <w:qFormat/>
    <w:uiPriority w:val="34"/>
    <w:pPr>
      <w:ind w:firstLine="420" w:firstLineChars="200"/>
    </w:pPr>
  </w:style>
  <w:style w:type="paragraph" w:customStyle="1" w:styleId="13">
    <w:name w:val="样式2"/>
    <w:basedOn w:val="1"/>
    <w:qFormat/>
    <w:uiPriority w:val="0"/>
    <w:rPr>
      <w:rFonts w:ascii="宋体" w:hAnsi="宋体" w:eastAsia="宋体" w:cs="Symeteo"/>
      <w:bCs/>
      <w:color w:val="FF0000"/>
      <w:sz w:val="24"/>
      <w:szCs w:val="24"/>
    </w:rPr>
  </w:style>
  <w:style w:type="character" w:customStyle="1" w:styleId="14">
    <w:name w:val="批注框文本 Char"/>
    <w:basedOn w:val="5"/>
    <w:link w:val="2"/>
    <w:semiHidden/>
    <w:qFormat/>
    <w:uiPriority w:val="99"/>
    <w:rPr>
      <w:sz w:val="18"/>
      <w:szCs w:val="18"/>
    </w:rPr>
  </w:style>
  <w:style w:type="character" w:customStyle="1" w:styleId="15">
    <w:name w:val="页眉 Char"/>
    <w:basedOn w:val="5"/>
    <w:link w:val="4"/>
    <w:qFormat/>
    <w:uiPriority w:val="99"/>
    <w:rPr>
      <w:sz w:val="18"/>
      <w:szCs w:val="18"/>
    </w:rPr>
  </w:style>
  <w:style w:type="character" w:customStyle="1" w:styleId="16">
    <w:name w:val="页脚 Char"/>
    <w:basedOn w:val="5"/>
    <w:link w:val="3"/>
    <w:qFormat/>
    <w:uiPriority w:val="99"/>
    <w:rPr>
      <w:sz w:val="18"/>
      <w:szCs w:val="18"/>
    </w:rPr>
  </w:style>
  <w:style w:type="character" w:customStyle="1" w:styleId="17">
    <w:name w:val="dwtpropertyeditor-required"/>
    <w:basedOn w:val="5"/>
    <w:uiPriority w:val="0"/>
    <w:rPr>
      <w:color w:val="8B0000"/>
    </w:rPr>
  </w:style>
  <w:style w:type="character" w:customStyle="1" w:styleId="18">
    <w:name w:val="hover5"/>
    <w:basedOn w:val="5"/>
    <w:uiPriority w:val="0"/>
    <w:rPr>
      <w:shd w:val="clear" w:fill="EEEEEE"/>
    </w:rPr>
  </w:style>
  <w:style w:type="character" w:customStyle="1" w:styleId="19">
    <w:name w:val="hover6"/>
    <w:basedOn w:val="5"/>
    <w:uiPriority w:val="0"/>
    <w:rPr>
      <w:shd w:val="clear" w:fill="EEEEE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TotalTime>6</TotalTime>
  <ScaleCrop>false</ScaleCrop>
  <LinksUpToDate>false</LinksUpToDate>
  <CharactersWithSpaces>1020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观察者</cp:lastModifiedBy>
  <cp:lastPrinted>2014-04-28T01:34:00Z</cp:lastPrinted>
  <dcterms:modified xsi:type="dcterms:W3CDTF">2018-11-23T09:25:01Z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