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r>
        <w:rPr>
          <w:rFonts w:hint="eastAsia"/>
          <w:b/>
          <w:bCs/>
          <w:color w:val="000000" w:themeColor="text1"/>
          <w:sz w:val="32"/>
          <w:szCs w:val="36"/>
          <w14:textFill>
            <w14:solidFill>
              <w14:schemeClr w14:val="tx1"/>
            </w14:solidFill>
          </w14:textFill>
        </w:rPr>
        <w:t>职业生涯发展与规划</w:t>
      </w:r>
      <w:r>
        <w:rPr>
          <w:b/>
          <w:sz w:val="32"/>
          <w:szCs w:val="32"/>
        </w:rPr>
        <w:t>课程教学大纲</w:t>
      </w:r>
      <w:bookmarkStart w:id="2" w:name="_GoBack"/>
      <w:bookmarkEnd w:id="2"/>
    </w:p>
    <w:p>
      <w:pPr>
        <w:ind w:firstLine="1050" w:firstLineChars="500"/>
      </w:pPr>
    </w:p>
    <w:tbl>
      <w:tblPr>
        <w:tblStyle w:val="10"/>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0"/>
        <w:gridCol w:w="1229"/>
        <w:gridCol w:w="1388"/>
        <w:gridCol w:w="1062"/>
        <w:gridCol w:w="618"/>
        <w:gridCol w:w="1584"/>
        <w:gridCol w:w="2043"/>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990" w:type="dxa"/>
            <w:vAlign w:val="center"/>
          </w:tcPr>
          <w:p>
            <w:pPr>
              <w:jc w:val="center"/>
            </w:pPr>
            <w:r>
              <w:rPr>
                <w:rFonts w:hint="eastAsia"/>
              </w:rPr>
              <w:t>课程代码</w:t>
            </w:r>
          </w:p>
          <w:p>
            <w:pPr>
              <w:jc w:val="center"/>
            </w:pPr>
            <w:r>
              <w:t>（</w:t>
            </w:r>
            <w:r>
              <w:rPr>
                <w:rFonts w:hint="eastAsia"/>
              </w:rPr>
              <w:t>Course Code）</w:t>
            </w:r>
          </w:p>
        </w:tc>
        <w:tc>
          <w:tcPr>
            <w:tcW w:w="1229" w:type="dxa"/>
            <w:vAlign w:val="center"/>
          </w:tcPr>
          <w:p>
            <w:pPr>
              <w:rPr>
                <w:w w:val="90"/>
              </w:rPr>
            </w:pPr>
            <w:r>
              <w:rPr>
                <w:w w:val="90"/>
              </w:rPr>
              <w:t>SO936</w:t>
            </w:r>
          </w:p>
        </w:tc>
        <w:tc>
          <w:tcPr>
            <w:tcW w:w="1388"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062" w:type="dxa"/>
            <w:vAlign w:val="center"/>
          </w:tcPr>
          <w:p>
            <w:pPr>
              <w:jc w:val="center"/>
            </w:pPr>
            <w:r>
              <w:rPr>
                <w:rFonts w:hint="eastAsia"/>
              </w:rPr>
              <w:t>32</w:t>
            </w:r>
          </w:p>
        </w:tc>
        <w:tc>
          <w:tcPr>
            <w:tcW w:w="2202" w:type="dxa"/>
            <w:gridSpan w:val="2"/>
            <w:vAlign w:val="center"/>
          </w:tcPr>
          <w:p>
            <w:pPr>
              <w:jc w:val="center"/>
            </w:pPr>
            <w:r>
              <w:rPr>
                <w:rFonts w:hint="eastAsia"/>
                <w:color w:val="FF0000"/>
              </w:rPr>
              <w:t>*</w:t>
            </w:r>
            <w:r>
              <w:t>学分</w:t>
            </w:r>
          </w:p>
          <w:p>
            <w:pPr>
              <w:jc w:val="center"/>
            </w:pPr>
            <w:r>
              <w:t>（Credits）</w:t>
            </w:r>
          </w:p>
        </w:tc>
        <w:tc>
          <w:tcPr>
            <w:tcW w:w="2053" w:type="dxa"/>
            <w:gridSpan w:val="2"/>
            <w:vAlign w:val="center"/>
          </w:tcPr>
          <w:p>
            <w:pPr>
              <w:rPr>
                <w:color w:val="00B050"/>
              </w:rPr>
            </w:pPr>
            <w:r>
              <w:rPr>
                <w:rFonts w:hint="eastAsia"/>
                <w:color w:val="00B05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990"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934" w:type="dxa"/>
            <w:gridSpan w:val="7"/>
            <w:vAlign w:val="center"/>
          </w:tcPr>
          <w:p>
            <w:pPr>
              <w:rPr>
                <w:color w:val="00B050"/>
              </w:rPr>
            </w:pPr>
            <w:r>
              <w:rPr>
                <w:rFonts w:hint="eastAsia"/>
                <w:color w:val="00B050"/>
              </w:rPr>
              <w:t>（中文）职业生涯发展与规划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990" w:type="dxa"/>
            <w:vMerge w:val="continue"/>
          </w:tcPr>
          <w:p>
            <w:pPr>
              <w:jc w:val="left"/>
            </w:pPr>
          </w:p>
        </w:tc>
        <w:tc>
          <w:tcPr>
            <w:tcW w:w="7934" w:type="dxa"/>
            <w:gridSpan w:val="7"/>
            <w:vAlign w:val="center"/>
          </w:tcPr>
          <w:p>
            <w:pPr>
              <w:rPr>
                <w:color w:val="00B050"/>
              </w:rPr>
            </w:pPr>
            <w:r>
              <w:rPr>
                <w:rFonts w:hint="eastAsia"/>
                <w:color w:val="00B050"/>
              </w:rPr>
              <w:t>（英文）</w:t>
            </w:r>
            <w:r>
              <w:rPr>
                <w:color w:val="00B050"/>
              </w:rPr>
              <w:t>Career Development and Planning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990" w:type="dxa"/>
            <w:vAlign w:val="center"/>
          </w:tcPr>
          <w:p>
            <w:pPr>
              <w:jc w:val="center"/>
            </w:pPr>
            <w:r>
              <w:rPr>
                <w:rFonts w:hint="eastAsia"/>
              </w:rPr>
              <w:t>课程性质</w:t>
            </w:r>
          </w:p>
          <w:p>
            <w:pPr>
              <w:jc w:val="center"/>
            </w:pPr>
            <w:r>
              <w:rPr>
                <w:rFonts w:hint="eastAsia"/>
              </w:rPr>
              <w:t>(Course Type)</w:t>
            </w:r>
          </w:p>
        </w:tc>
        <w:tc>
          <w:tcPr>
            <w:tcW w:w="7934" w:type="dxa"/>
            <w:gridSpan w:val="7"/>
            <w:vAlign w:val="center"/>
          </w:tcPr>
          <w:p>
            <w:pPr>
              <w:jc w:val="center"/>
              <w:rPr>
                <w:color w:val="00B050"/>
              </w:rPr>
            </w:pPr>
            <w:r>
              <w:rPr>
                <w:rFonts w:hint="eastAsia"/>
                <w:color w:val="00B050"/>
              </w:rPr>
              <w:t>核心通识课程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rPr>
              <w:t>授课对象</w:t>
            </w:r>
          </w:p>
          <w:p>
            <w:pPr>
              <w:jc w:val="center"/>
            </w:pPr>
            <w:r>
              <w:rPr>
                <w:rFonts w:hint="eastAsia"/>
              </w:rPr>
              <w:t>（Target Audience）</w:t>
            </w:r>
          </w:p>
        </w:tc>
        <w:tc>
          <w:tcPr>
            <w:tcW w:w="7934" w:type="dxa"/>
            <w:gridSpan w:val="7"/>
            <w:vAlign w:val="center"/>
          </w:tcPr>
          <w:p>
            <w:pPr>
              <w:jc w:val="left"/>
            </w:pPr>
            <w:r>
              <w:rPr>
                <w:rFonts w:hint="eastAsia"/>
              </w:rPr>
              <w:t>全体本科生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rPr>
              <w:t>授课语言</w:t>
            </w:r>
          </w:p>
          <w:p>
            <w:pPr>
              <w:jc w:val="left"/>
            </w:pPr>
            <w:r>
              <w:rPr>
                <w:rFonts w:hint="eastAsia"/>
              </w:rPr>
              <w:t>(Language of Instruction)</w:t>
            </w:r>
          </w:p>
        </w:tc>
        <w:tc>
          <w:tcPr>
            <w:tcW w:w="7934" w:type="dxa"/>
            <w:gridSpan w:val="7"/>
            <w:vAlign w:val="center"/>
          </w:tcPr>
          <w:p>
            <w:pPr>
              <w:jc w:val="left"/>
            </w:pPr>
            <w:r>
              <w:rPr>
                <w:rFonts w:hint="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934" w:type="dxa"/>
            <w:gridSpan w:val="7"/>
            <w:vAlign w:val="center"/>
          </w:tcPr>
          <w:p>
            <w:pPr>
              <w:jc w:val="center"/>
            </w:pPr>
            <w:r>
              <w:rPr>
                <w:rFonts w:hint="eastAsia"/>
              </w:rPr>
              <w:t>学指委、团委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rPr>
              <w:t>先修课程</w:t>
            </w:r>
          </w:p>
          <w:p>
            <w:pPr>
              <w:jc w:val="center"/>
            </w:pPr>
            <w:r>
              <w:rPr>
                <w:rFonts w:hint="eastAsia"/>
              </w:rPr>
              <w:t>（Prerequisite）</w:t>
            </w:r>
          </w:p>
        </w:tc>
        <w:tc>
          <w:tcPr>
            <w:tcW w:w="7934" w:type="dxa"/>
            <w:gridSpan w:val="7"/>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1990" w:type="dxa"/>
            <w:vAlign w:val="center"/>
          </w:tcPr>
          <w:p>
            <w:pPr>
              <w:jc w:val="center"/>
            </w:pPr>
            <w:r>
              <w:rPr>
                <w:rFonts w:hint="eastAsia"/>
              </w:rPr>
              <w:t>授课教师</w:t>
            </w:r>
          </w:p>
          <w:p>
            <w:pPr>
              <w:jc w:val="center"/>
            </w:pPr>
            <w:r>
              <w:rPr>
                <w:rFonts w:hint="eastAsia"/>
              </w:rPr>
              <w:t>（Instructor）</w:t>
            </w:r>
          </w:p>
        </w:tc>
        <w:tc>
          <w:tcPr>
            <w:tcW w:w="2617" w:type="dxa"/>
            <w:gridSpan w:val="2"/>
            <w:vAlign w:val="center"/>
          </w:tcPr>
          <w:p>
            <w:pPr>
              <w:jc w:val="center"/>
            </w:pPr>
            <w:r>
              <w:rPr>
                <w:rFonts w:hint="eastAsia"/>
              </w:rPr>
              <w:t>侯士兵、沈延兵、阮海涛、张建军、杨薛雯、倪邦辉、吴海燕、尚建辉、李春梅、宋玲、鲁佳铭、张燕红等</w:t>
            </w:r>
          </w:p>
        </w:tc>
        <w:tc>
          <w:tcPr>
            <w:tcW w:w="1680"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3627" w:type="dxa"/>
            <w:gridSpan w:val="2"/>
            <w:vAlign w:val="center"/>
          </w:tcPr>
          <w:p>
            <w:pPr>
              <w:jc w:val="center"/>
              <w:rPr>
                <w:color w:val="00B050"/>
              </w:rPr>
            </w:pPr>
            <w:r>
              <w:rPr>
                <w:color w:val="00B050"/>
              </w:rPr>
              <w:t>http://cc.sjtu.edu.cn/G2S/Template/View.aspx?action=view&amp;courseType=1&amp;courseId=7612&amp;ZZWLOOKINGFOR=G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990" w:type="dxa"/>
            <w:vAlign w:val="center"/>
          </w:tcPr>
          <w:p>
            <w:pPr>
              <w:jc w:val="center"/>
            </w:pPr>
            <w:r>
              <w:rPr>
                <w:rFonts w:hint="eastAsia"/>
                <w:color w:val="FF0000"/>
              </w:rPr>
              <w:t>*</w:t>
            </w:r>
            <w:r>
              <w:rPr>
                <w:rFonts w:hint="eastAsia"/>
              </w:rPr>
              <w:t>课程简介</w:t>
            </w:r>
            <w:r>
              <w:rPr>
                <w:rFonts w:hint="eastAsia"/>
                <w:w w:val="90"/>
              </w:rPr>
              <w:t>（Description）</w:t>
            </w:r>
          </w:p>
        </w:tc>
        <w:tc>
          <w:tcPr>
            <w:tcW w:w="7934" w:type="dxa"/>
            <w:gridSpan w:val="7"/>
            <w:vAlign w:val="center"/>
          </w:tcPr>
          <w:p>
            <w:pPr>
              <w:rPr>
                <w:color w:val="00B050"/>
              </w:rPr>
            </w:pPr>
            <w:r>
              <w:rPr>
                <w:rFonts w:hint="eastAsia"/>
                <w:color w:val="00B050"/>
              </w:rPr>
              <w:t>（中文300-500字，含课程性质、主要教学内容、课程教学目标等）</w:t>
            </w:r>
          </w:p>
          <w:p>
            <w:pPr>
              <w:ind w:firstLine="420" w:firstLineChars="200"/>
            </w:pPr>
            <w:r>
              <w:rPr>
                <w:rFonts w:hint="eastAsia"/>
              </w:rPr>
              <w:t>《职业生涯发展与规划》是一门生涯教育的普及课程。通过该课程的学习，一方面可以帮助学生树立职业发展意识，掌握生涯发展和选择相关的理论，启发学生进行深入自我探索与生涯探索，规划好个人的大学生涯和职业生涯；另一方面可以帮助学生提高求职技能、增强就业竞争力, 找到适合自身发展的满意的工作，并最终实现职业生涯成功。</w:t>
            </w:r>
          </w:p>
          <w:p>
            <w:pPr>
              <w:ind w:firstLine="420" w:firstLineChars="200"/>
            </w:pPr>
            <w:r>
              <w:rPr>
                <w:rFonts w:hint="eastAsia"/>
              </w:rPr>
              <w:t>本课程集理论性、指导性和实践性于一体，采取体验式教学形式，采用“游戏--观念认知--自我评估--行动计划”的模式，通过精心设计的活动任务来创设一定的模拟情境，使学生真正能够学以致用，真实体验自我探索、生涯探索和就业应聘过程，在真诚与接纳的氛围中开放自我、彼此分享经验，通过团体训练提高学生的职业发展能力和就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4" w:hRule="atLeast"/>
        </w:trPr>
        <w:tc>
          <w:tcPr>
            <w:tcW w:w="1990"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934" w:type="dxa"/>
            <w:gridSpan w:val="7"/>
            <w:tcBorders>
              <w:bottom w:val="single" w:color="auto" w:sz="4" w:space="0"/>
            </w:tcBorders>
            <w:vAlign w:val="center"/>
          </w:tcPr>
          <w:p>
            <w:pPr>
              <w:jc w:val="left"/>
              <w:rPr>
                <w:color w:val="00B050"/>
              </w:rPr>
            </w:pPr>
            <w:r>
              <w:rPr>
                <w:rFonts w:hint="eastAsia"/>
                <w:color w:val="00B050"/>
              </w:rPr>
              <w:t>（英文300-500字）</w:t>
            </w:r>
          </w:p>
          <w:p>
            <w:pPr>
              <w:jc w:val="left"/>
            </w:pPr>
            <w:r>
              <w:t>"Career development and planning" is a popular course of career education. Through the course of study, on the one hand, it can help students establish the consciousness of career development, master the theory of career development and choice, inspire students to explore and explore their own.</w:t>
            </w:r>
          </w:p>
          <w:p>
            <w:pPr>
              <w:jc w:val="left"/>
            </w:pPr>
            <w:r>
              <w:t>This course integrates theory, instruction and practice in one. It adopts the mode of "game, concept cognition, assessment, action plan", which can be used to create a certain simulation environment, so that students can learn to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1990" w:type="dxa"/>
            <w:vAlign w:val="center"/>
          </w:tcPr>
          <w:p>
            <w:pPr>
              <w:jc w:val="left"/>
            </w:pPr>
            <w:r>
              <w:rPr>
                <w:rFonts w:hint="eastAsia"/>
                <w:color w:val="C00000"/>
              </w:rPr>
              <w:t>*</w:t>
            </w:r>
            <w:r>
              <w:rPr>
                <w:rFonts w:hint="eastAsia"/>
              </w:rPr>
              <w:t>学习目标(Learning Outcomes)</w:t>
            </w:r>
          </w:p>
        </w:tc>
        <w:tc>
          <w:tcPr>
            <w:tcW w:w="7934" w:type="dxa"/>
            <w:gridSpan w:val="7"/>
            <w:vAlign w:val="center"/>
          </w:tcPr>
          <w:p>
            <w:r>
              <w:rPr>
                <w:rFonts w:hint="eastAsia"/>
              </w:rPr>
              <w:t>1．围绕启发学生进行深入自我探索与生涯探索，掌握生涯规划的基本理论，规划好个人的大学生涯和职业生涯；</w:t>
            </w:r>
          </w:p>
          <w:p>
            <w:r>
              <w:rPr>
                <w:rFonts w:hint="eastAsia"/>
              </w:rPr>
              <w:t>2．帮助学生增强自我效能，掌握职业发展素养的相关理论和方法；</w:t>
            </w:r>
          </w:p>
          <w:p>
            <w:r>
              <w:rPr>
                <w:rFonts w:hint="eastAsia"/>
              </w:rPr>
              <w:t>3．帮助学生提高求职技能、增强就业竞争力, 找到适合自身发展的满意工作，并最终实现职业生涯成功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934" w:type="dxa"/>
            <w:gridSpan w:val="7"/>
            <w:vAlign w:val="center"/>
          </w:tcPr>
          <w:tbl>
            <w:tblPr>
              <w:tblStyle w:val="10"/>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pStyle w:val="2"/>
                    <w:ind w:firstLine="0" w:firstLineChars="0"/>
                    <w:jc w:val="center"/>
                    <w:rPr>
                      <w:rFonts w:ascii="宋体" w:hAnsi="宋体"/>
                    </w:rPr>
                  </w:pPr>
                  <w:r>
                    <w:rPr>
                      <w:rFonts w:ascii="宋体" w:hAnsi="宋体"/>
                    </w:rPr>
                    <w:t>生涯规划导论</w:t>
                  </w:r>
                  <w:r>
                    <w:rPr>
                      <w:rFonts w:hint="eastAsia" w:ascii="宋体" w:hAnsi="宋体"/>
                    </w:rPr>
                    <w:t>（破冰组队和课程概论）</w:t>
                  </w:r>
                </w:p>
              </w:tc>
              <w:tc>
                <w:tcPr>
                  <w:tcW w:w="816" w:type="dxa"/>
                  <w:vAlign w:val="center"/>
                </w:tcPr>
                <w:p>
                  <w:pPr>
                    <w:pStyle w:val="2"/>
                    <w:ind w:firstLine="0" w:firstLineChars="0"/>
                    <w:jc w:val="center"/>
                    <w:rPr>
                      <w:rFonts w:ascii="宋体" w:hAnsi="宋体"/>
                    </w:rPr>
                  </w:pPr>
                  <w:r>
                    <w:rPr>
                      <w:rFonts w:hint="eastAsia" w:ascii="宋体" w:hAnsi="宋体"/>
                    </w:rPr>
                    <w:t>3学时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pStyle w:val="2"/>
                    <w:ind w:firstLine="0" w:firstLineChars="0"/>
                    <w:jc w:val="center"/>
                    <w:rPr>
                      <w:rFonts w:ascii="宋体" w:hAnsi="宋体"/>
                    </w:rPr>
                  </w:pPr>
                  <w:r>
                    <w:rPr>
                      <w:rFonts w:ascii="宋体" w:hAnsi="宋体"/>
                    </w:rPr>
                    <w:t>自我探索</w:t>
                  </w:r>
                  <w:r>
                    <w:rPr>
                      <w:rFonts w:hint="eastAsia" w:ascii="宋体" w:hAnsi="宋体"/>
                    </w:rPr>
                    <w:t>（生涯价值观、能力、性格、兴趣探索）</w:t>
                  </w:r>
                </w:p>
              </w:tc>
              <w:tc>
                <w:tcPr>
                  <w:tcW w:w="816" w:type="dxa"/>
                  <w:vAlign w:val="center"/>
                </w:tcPr>
                <w:p>
                  <w:pPr>
                    <w:pStyle w:val="2"/>
                    <w:ind w:firstLine="0" w:firstLineChars="0"/>
                    <w:jc w:val="center"/>
                    <w:rPr>
                      <w:rFonts w:ascii="宋体" w:hAnsi="宋体"/>
                    </w:rPr>
                  </w:pPr>
                  <w:r>
                    <w:rPr>
                      <w:rFonts w:hint="eastAsia" w:ascii="宋体" w:hAnsi="宋体"/>
                    </w:rPr>
                    <w:t>7</w:t>
                  </w:r>
                  <w:r>
                    <w:rPr>
                      <w:rFonts w:ascii="宋体" w:hAnsi="宋体"/>
                    </w:rPr>
                    <w:t>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r>
                    <w:rPr>
                      <w:rFonts w:hint="eastAsia" w:ascii="宋体" w:hAnsi="宋体"/>
                    </w:rPr>
                    <w:t>完成“个人认知自我建构清单”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pStyle w:val="2"/>
                    <w:ind w:firstLine="0" w:firstLineChars="0"/>
                    <w:jc w:val="center"/>
                    <w:rPr>
                      <w:rFonts w:ascii="宋体" w:hAnsi="宋体"/>
                    </w:rPr>
                  </w:pPr>
                  <w:r>
                    <w:rPr>
                      <w:rFonts w:ascii="宋体" w:hAnsi="宋体"/>
                    </w:rPr>
                    <w:t>职场世界认知</w:t>
                  </w:r>
                  <w:r>
                    <w:rPr>
                      <w:rFonts w:hint="eastAsia" w:ascii="宋体" w:hAnsi="宋体"/>
                    </w:rPr>
                    <w:t>（职场现状、行业认知、简历、面试）</w:t>
                  </w:r>
                </w:p>
              </w:tc>
              <w:tc>
                <w:tcPr>
                  <w:tcW w:w="816" w:type="dxa"/>
                  <w:vAlign w:val="center"/>
                </w:tcPr>
                <w:p>
                  <w:pPr>
                    <w:pStyle w:val="2"/>
                    <w:ind w:firstLine="0" w:firstLineChars="0"/>
                    <w:jc w:val="center"/>
                    <w:rPr>
                      <w:rFonts w:ascii="宋体" w:hAnsi="宋体"/>
                    </w:rPr>
                  </w:pPr>
                  <w:r>
                    <w:rPr>
                      <w:rFonts w:hint="eastAsia" w:ascii="宋体" w:hAnsi="宋体"/>
                    </w:rPr>
                    <w:t>8</w:t>
                  </w:r>
                  <w:r>
                    <w:rPr>
                      <w:rFonts w:ascii="宋体" w:hAnsi="宋体"/>
                    </w:rPr>
                    <w:t>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r>
                    <w:rPr>
                      <w:rFonts w:hint="eastAsia" w:ascii="宋体" w:hAnsi="宋体"/>
                    </w:rPr>
                    <w:t>2学时，团队大作业将安排小组任务“生涯人物访谈”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pStyle w:val="2"/>
                    <w:ind w:firstLine="0" w:firstLineChars="0"/>
                    <w:jc w:val="center"/>
                    <w:rPr>
                      <w:rFonts w:ascii="宋体" w:hAnsi="宋体"/>
                    </w:rPr>
                  </w:pPr>
                  <w:r>
                    <w:rPr>
                      <w:rFonts w:hint="eastAsia" w:ascii="宋体" w:hAnsi="宋体"/>
                    </w:rPr>
                    <w:t>职业素养</w:t>
                  </w:r>
                  <w:r>
                    <w:rPr>
                      <w:rFonts w:hint="eastAsia" w:ascii="宋体" w:hAnsi="宋体"/>
                      <w:szCs w:val="21"/>
                    </w:rPr>
                    <w:t>（人际沟通、时间管理、团队合作、情绪管理、领导力和执行力）</w:t>
                  </w:r>
                </w:p>
              </w:tc>
              <w:tc>
                <w:tcPr>
                  <w:tcW w:w="816" w:type="dxa"/>
                  <w:vAlign w:val="center"/>
                </w:tcPr>
                <w:p>
                  <w:pPr>
                    <w:pStyle w:val="2"/>
                    <w:ind w:firstLine="0" w:firstLineChars="0"/>
                    <w:jc w:val="center"/>
                    <w:rPr>
                      <w:rFonts w:ascii="宋体" w:hAnsi="宋体"/>
                    </w:rPr>
                  </w:pPr>
                  <w:r>
                    <w:rPr>
                      <w:rFonts w:hint="eastAsia" w:ascii="宋体" w:hAnsi="宋体"/>
                    </w:rPr>
                    <w:t>8学时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pStyle w:val="2"/>
                    <w:ind w:firstLine="0" w:firstLineChars="0"/>
                    <w:jc w:val="center"/>
                    <w:rPr>
                      <w:rFonts w:ascii="宋体" w:hAnsi="宋体"/>
                    </w:rPr>
                  </w:pPr>
                  <w:r>
                    <w:rPr>
                      <w:rFonts w:ascii="宋体" w:hAnsi="宋体"/>
                    </w:rPr>
                    <w:t>生涯决策与规划</w:t>
                  </w:r>
                  <w:r>
                    <w:rPr>
                      <w:rFonts w:hint="eastAsia" w:ascii="宋体" w:hAnsi="宋体"/>
                    </w:rPr>
                    <w:t>（决策风格、生涯规划、期末考试）</w:t>
                  </w:r>
                </w:p>
              </w:tc>
              <w:tc>
                <w:tcPr>
                  <w:tcW w:w="816" w:type="dxa"/>
                  <w:vAlign w:val="center"/>
                </w:tcPr>
                <w:p>
                  <w:pPr>
                    <w:pStyle w:val="2"/>
                    <w:ind w:firstLine="0" w:firstLineChars="0"/>
                    <w:jc w:val="center"/>
                    <w:rPr>
                      <w:rFonts w:ascii="宋体" w:hAnsi="宋体"/>
                    </w:rPr>
                  </w:pPr>
                  <w:r>
                    <w:rPr>
                      <w:rFonts w:hint="eastAsia" w:ascii="宋体" w:hAnsi="宋体"/>
                    </w:rPr>
                    <w:t>6学时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r>
                    <w:rPr>
                      <w:rFonts w:hint="eastAsia"/>
                    </w:rPr>
                    <w:t>完成个人职业生涯规划书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r>
                    <w:t>……</w:t>
                  </w: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990" w:type="dxa"/>
            <w:vAlign w:val="center"/>
          </w:tcPr>
          <w:p>
            <w:pPr>
              <w:jc w:val="center"/>
            </w:pPr>
            <w:r>
              <w:rPr>
                <w:rFonts w:hint="eastAsia"/>
                <w:color w:val="C00000"/>
              </w:rPr>
              <w:t>*</w:t>
            </w:r>
            <w:r>
              <w:rPr>
                <w:rFonts w:hint="eastAsia"/>
              </w:rPr>
              <w:t>考核方式 (Grading)</w:t>
            </w:r>
          </w:p>
        </w:tc>
        <w:tc>
          <w:tcPr>
            <w:tcW w:w="7934" w:type="dxa"/>
            <w:gridSpan w:val="7"/>
            <w:vAlign w:val="center"/>
          </w:tcPr>
          <w:p>
            <w:pPr>
              <w:jc w:val="left"/>
              <w:rPr>
                <w:color w:val="00B050"/>
              </w:rPr>
            </w:pPr>
            <w:r>
              <w:rPr>
                <w:rFonts w:hint="eastAsia"/>
                <w:color w:val="00B050"/>
              </w:rPr>
              <w:t>（成</w:t>
            </w:r>
            <w:bookmarkStart w:id="0" w:name="OLE_LINK5"/>
            <w:bookmarkStart w:id="1" w:name="OLE_LINK6"/>
            <w:r>
              <w:rPr>
                <w:rFonts w:hint="eastAsia"/>
                <w:color w:val="00B050"/>
              </w:rPr>
              <w:t>绩构成）</w:t>
            </w:r>
            <w:bookmarkEnd w:id="0"/>
            <w:bookmarkEnd w:id="1"/>
          </w:p>
          <w:p>
            <w:pPr>
              <w:ind w:firstLine="420" w:firstLineChars="200"/>
              <w:jc w:val="left"/>
            </w:pPr>
            <w:r>
              <w:rPr>
                <w:rFonts w:hint="eastAsia"/>
              </w:rPr>
              <w:t>最终成绩由平时表现、课堂表现、结业考试成绩组合而成。各部分所占比例如下：</w:t>
            </w:r>
          </w:p>
          <w:p>
            <w:pPr>
              <w:ind w:firstLine="420" w:firstLineChars="200"/>
              <w:jc w:val="left"/>
            </w:pPr>
            <w:r>
              <w:rPr>
                <w:rFonts w:hint="eastAsia"/>
              </w:rPr>
              <w:t>平时成绩：30%。主要考核对知识点的掌握程度、口头及文字表达能力。</w:t>
            </w:r>
          </w:p>
          <w:p>
            <w:pPr>
              <w:jc w:val="left"/>
            </w:pPr>
            <w:r>
              <w:rPr>
                <w:rFonts w:hint="eastAsia"/>
              </w:rPr>
              <w:tab/>
            </w:r>
            <w:r>
              <w:rPr>
                <w:rFonts w:hint="eastAsia"/>
              </w:rPr>
              <w:t>课堂表现：30%。主要考核课堂参与度、课堂测试以及团队合作能力。</w:t>
            </w:r>
          </w:p>
          <w:p>
            <w:pPr>
              <w:jc w:val="left"/>
            </w:pPr>
            <w:r>
              <w:rPr>
                <w:rFonts w:hint="eastAsia"/>
              </w:rPr>
              <w:tab/>
            </w:r>
            <w:r>
              <w:rPr>
                <w:rFonts w:hint="eastAsia"/>
              </w:rPr>
              <w:t>期末考试：40%（期中、期末安排两次考试，各占20%）。主要考核对自我探索认识程度、对职业世界了解程度以及后续生涯规划行动的能力。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990" w:type="dxa"/>
            <w:vAlign w:val="center"/>
          </w:tcPr>
          <w:p>
            <w:pPr>
              <w:jc w:val="center"/>
            </w:pPr>
            <w:r>
              <w:rPr>
                <w:rFonts w:hint="eastAsia"/>
                <w:color w:val="C00000"/>
              </w:rPr>
              <w:t>*</w:t>
            </w:r>
            <w:r>
              <w:rPr>
                <w:rFonts w:hint="eastAsia"/>
              </w:rPr>
              <w:t>教材或参考资料(Textbooks &amp; Other Materials)</w:t>
            </w:r>
          </w:p>
        </w:tc>
        <w:tc>
          <w:tcPr>
            <w:tcW w:w="7934" w:type="dxa"/>
            <w:gridSpan w:val="7"/>
            <w:vAlign w:val="center"/>
          </w:tcPr>
          <w:p>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pPr>
              <w:jc w:val="left"/>
            </w:pPr>
            <w:r>
              <w:rPr>
                <w:rFonts w:hint="eastAsia"/>
              </w:rPr>
              <w:t>教材：</w:t>
            </w:r>
          </w:p>
          <w:p>
            <w:pPr>
              <w:jc w:val="left"/>
            </w:pPr>
            <w:r>
              <w:rPr>
                <w:rFonts w:hint="eastAsia"/>
              </w:rPr>
              <w:t>《大学生生涯发展与规划》 钱静峰、黄素菲主编 世界图书出版公司 2015年3月第1版第1次 978－7－5100－8166－8</w:t>
            </w:r>
          </w:p>
          <w:p>
            <w:pPr>
              <w:jc w:val="left"/>
            </w:pPr>
            <w:r>
              <w:rPr>
                <w:rFonts w:hint="eastAsia"/>
              </w:rPr>
              <w:t>参考书目：</w:t>
            </w:r>
          </w:p>
          <w:p>
            <w:pPr>
              <w:jc w:val="left"/>
            </w:pPr>
            <w:r>
              <w:rPr>
                <w:rFonts w:hint="eastAsia"/>
              </w:rPr>
              <w:t>1.《职业生涯发展与规划(第3版)》</w:t>
            </w:r>
            <w:r>
              <w:rPr>
                <w:rFonts w:hint="eastAsia"/>
              </w:rPr>
              <w:tab/>
            </w:r>
            <w:r>
              <w:rPr>
                <w:rFonts w:hint="eastAsia"/>
              </w:rPr>
              <w:t>(美) 罗伯特·C·里尔登等</w:t>
            </w:r>
            <w:r>
              <w:rPr>
                <w:rFonts w:hint="eastAsia"/>
              </w:rPr>
              <w:tab/>
            </w:r>
            <w:r>
              <w:rPr>
                <w:rFonts w:hint="eastAsia"/>
              </w:rPr>
              <w:t>中国人民大学出版社</w:t>
            </w:r>
          </w:p>
          <w:p>
            <w:pPr>
              <w:jc w:val="left"/>
            </w:pPr>
            <w:r>
              <w:rPr>
                <w:rFonts w:hint="eastAsia"/>
              </w:rPr>
              <w:t>2.《生涯咨询与辅导》</w:t>
            </w:r>
            <w:r>
              <w:rPr>
                <w:rFonts w:hint="eastAsia"/>
              </w:rPr>
              <w:tab/>
            </w:r>
            <w:r>
              <w:rPr>
                <w:rFonts w:hint="eastAsia"/>
              </w:rPr>
              <w:t>金树人</w:t>
            </w:r>
            <w:r>
              <w:rPr>
                <w:rFonts w:hint="eastAsia"/>
              </w:rPr>
              <w:tab/>
            </w:r>
            <w:r>
              <w:rPr>
                <w:rFonts w:hint="eastAsia"/>
              </w:rPr>
              <w:t>高等教育出版社</w:t>
            </w:r>
          </w:p>
          <w:p>
            <w:pPr>
              <w:jc w:val="left"/>
            </w:pPr>
            <w:r>
              <w:rPr>
                <w:rFonts w:hint="eastAsia"/>
              </w:rPr>
              <w:t>3.《生涯规划:体验式学习》</w:t>
            </w:r>
            <w:r>
              <w:rPr>
                <w:rFonts w:hint="eastAsia"/>
              </w:rPr>
              <w:tab/>
            </w:r>
            <w:r>
              <w:rPr>
                <w:rFonts w:hint="eastAsia"/>
              </w:rPr>
              <w:t>黄天中著</w:t>
            </w:r>
            <w:r>
              <w:rPr>
                <w:rFonts w:hint="eastAsia"/>
              </w:rPr>
              <w:tab/>
            </w:r>
            <w:r>
              <w:rPr>
                <w:rFonts w:hint="eastAsia"/>
              </w:rPr>
              <w:t>高等教育出版社</w:t>
            </w:r>
          </w:p>
          <w:p>
            <w:pPr>
              <w:jc w:val="left"/>
            </w:pPr>
            <w:r>
              <w:rPr>
                <w:rFonts w:hint="eastAsia"/>
              </w:rPr>
              <w:t>4.《无领到白领》</w:t>
            </w:r>
            <w:r>
              <w:rPr>
                <w:rFonts w:hint="eastAsia"/>
              </w:rPr>
              <w:tab/>
            </w:r>
            <w:r>
              <w:rPr>
                <w:rFonts w:hint="eastAsia"/>
              </w:rPr>
              <w:t>许国庆等著</w:t>
            </w:r>
            <w:r>
              <w:rPr>
                <w:rFonts w:hint="eastAsia"/>
              </w:rPr>
              <w:tab/>
            </w:r>
            <w:r>
              <w:rPr>
                <w:rFonts w:hint="eastAsia"/>
              </w:rPr>
              <w:t>中信出版社</w:t>
            </w:r>
          </w:p>
          <w:p>
            <w:pPr>
              <w:jc w:val="left"/>
            </w:pPr>
            <w:r>
              <w:rPr>
                <w:rFonts w:hint="eastAsia"/>
              </w:rPr>
              <w:t>5.《选对池塘钓大鱼》</w:t>
            </w:r>
            <w:r>
              <w:rPr>
                <w:rFonts w:hint="eastAsia"/>
              </w:rPr>
              <w:tab/>
            </w:r>
            <w:r>
              <w:rPr>
                <w:rFonts w:hint="eastAsia"/>
              </w:rPr>
              <w:t>（美）雷恩·吉尔森著</w:t>
            </w:r>
            <w:r>
              <w:rPr>
                <w:rFonts w:hint="eastAsia"/>
              </w:rPr>
              <w:tab/>
            </w:r>
            <w:r>
              <w:rPr>
                <w:rFonts w:hint="eastAsia"/>
              </w:rPr>
              <w:t>机械工业出版社</w:t>
            </w:r>
          </w:p>
          <w:p>
            <w:pPr>
              <w:jc w:val="left"/>
              <w:rPr>
                <w:color w:val="00B050"/>
              </w:rPr>
            </w:pPr>
            <w:r>
              <w:rPr>
                <w:rFonts w:hint="eastAsia"/>
              </w:rPr>
              <w:t>6.《生涯规划自己来》</w:t>
            </w:r>
            <w:r>
              <w:rPr>
                <w:rFonts w:hint="eastAsia"/>
              </w:rPr>
              <w:tab/>
            </w:r>
            <w:r>
              <w:rPr>
                <w:rFonts w:hint="eastAsia"/>
              </w:rPr>
              <w:t>洪凤仪著</w:t>
            </w:r>
            <w:r>
              <w:rPr>
                <w:rFonts w:hint="eastAsia"/>
              </w:rPr>
              <w:tab/>
            </w:r>
            <w:r>
              <w:rPr>
                <w:rFonts w:hint="eastAsia"/>
              </w:rPr>
              <w:t>台湾扬智文化事业股份有限公司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990" w:type="dxa"/>
            <w:vAlign w:val="center"/>
          </w:tcPr>
          <w:p>
            <w:pPr>
              <w:jc w:val="center"/>
            </w:pPr>
            <w:r>
              <w:rPr>
                <w:rFonts w:hint="eastAsia"/>
              </w:rPr>
              <w:t>其它（More）</w:t>
            </w:r>
          </w:p>
        </w:tc>
        <w:tc>
          <w:tcPr>
            <w:tcW w:w="7934" w:type="dxa"/>
            <w:gridSpan w:val="7"/>
            <w:vAlign w:val="center"/>
          </w:tcPr>
          <w:p>
            <w:pPr>
              <w:jc w:val="center"/>
              <w:rPr>
                <w:color w:val="00B050"/>
              </w:rPr>
            </w:pPr>
            <w:r>
              <w:rPr>
                <w:rFonts w:hint="eastAsia"/>
                <w:color w:val="00B05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990" w:type="dxa"/>
            <w:vAlign w:val="center"/>
          </w:tcPr>
          <w:p>
            <w:pPr>
              <w:jc w:val="center"/>
            </w:pPr>
            <w:r>
              <w:rPr>
                <w:rFonts w:hint="eastAsia"/>
              </w:rPr>
              <w:t>备注（Notes）</w:t>
            </w:r>
          </w:p>
        </w:tc>
        <w:tc>
          <w:tcPr>
            <w:tcW w:w="7934" w:type="dxa"/>
            <w:gridSpan w:val="7"/>
            <w:vAlign w:val="center"/>
          </w:tcPr>
          <w:p>
            <w:pPr>
              <w:jc w:val="center"/>
              <w:rPr>
                <w:color w:val="00B050"/>
              </w:rPr>
            </w:pPr>
            <w:r>
              <w:rPr>
                <w:rFonts w:hint="eastAsia"/>
                <w:color w:val="00B050"/>
              </w:rPr>
              <w:t>无</w:t>
            </w: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431C"/>
    <w:rsid w:val="00065C8F"/>
    <w:rsid w:val="000972FB"/>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36F3B"/>
    <w:rsid w:val="002428BC"/>
    <w:rsid w:val="0026026C"/>
    <w:rsid w:val="0026569D"/>
    <w:rsid w:val="0027360E"/>
    <w:rsid w:val="0028182B"/>
    <w:rsid w:val="0028463A"/>
    <w:rsid w:val="00290F88"/>
    <w:rsid w:val="002A157D"/>
    <w:rsid w:val="002A6549"/>
    <w:rsid w:val="002A7980"/>
    <w:rsid w:val="002B6537"/>
    <w:rsid w:val="002D4CDC"/>
    <w:rsid w:val="002E7CB9"/>
    <w:rsid w:val="003036D4"/>
    <w:rsid w:val="003237D3"/>
    <w:rsid w:val="00341CDD"/>
    <w:rsid w:val="00366702"/>
    <w:rsid w:val="003715C0"/>
    <w:rsid w:val="00377008"/>
    <w:rsid w:val="003948E3"/>
    <w:rsid w:val="00395246"/>
    <w:rsid w:val="0039570D"/>
    <w:rsid w:val="003C4422"/>
    <w:rsid w:val="003D10F5"/>
    <w:rsid w:val="003D2213"/>
    <w:rsid w:val="003E65CC"/>
    <w:rsid w:val="003F3DB0"/>
    <w:rsid w:val="003F7345"/>
    <w:rsid w:val="00440BB3"/>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47F8A"/>
    <w:rsid w:val="00656964"/>
    <w:rsid w:val="00663B60"/>
    <w:rsid w:val="00686943"/>
    <w:rsid w:val="006A13AE"/>
    <w:rsid w:val="006D049A"/>
    <w:rsid w:val="006D3645"/>
    <w:rsid w:val="006F1849"/>
    <w:rsid w:val="006F49C1"/>
    <w:rsid w:val="00705456"/>
    <w:rsid w:val="00707583"/>
    <w:rsid w:val="007252D6"/>
    <w:rsid w:val="0074127F"/>
    <w:rsid w:val="00784A11"/>
    <w:rsid w:val="00795F2D"/>
    <w:rsid w:val="007A19E1"/>
    <w:rsid w:val="007B376D"/>
    <w:rsid w:val="007D4099"/>
    <w:rsid w:val="007E4B77"/>
    <w:rsid w:val="00801243"/>
    <w:rsid w:val="008158EA"/>
    <w:rsid w:val="00823ACC"/>
    <w:rsid w:val="0082596B"/>
    <w:rsid w:val="00825C1B"/>
    <w:rsid w:val="00857453"/>
    <w:rsid w:val="00890F38"/>
    <w:rsid w:val="008954B7"/>
    <w:rsid w:val="008A7203"/>
    <w:rsid w:val="008C6E46"/>
    <w:rsid w:val="008F577E"/>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E73FA"/>
    <w:rsid w:val="009E7C73"/>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75E26"/>
    <w:rsid w:val="00C85828"/>
    <w:rsid w:val="00CB685A"/>
    <w:rsid w:val="00CF32A8"/>
    <w:rsid w:val="00CF7312"/>
    <w:rsid w:val="00D130CC"/>
    <w:rsid w:val="00D1758F"/>
    <w:rsid w:val="00D23BC7"/>
    <w:rsid w:val="00D41A07"/>
    <w:rsid w:val="00D43323"/>
    <w:rsid w:val="00D47A4D"/>
    <w:rsid w:val="00D6336A"/>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2BB21C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Cs w:val="24"/>
    </w:rPr>
  </w:style>
  <w:style w:type="paragraph" w:styleId="3">
    <w:name w:val="Balloon Text"/>
    <w:basedOn w:val="1"/>
    <w:link w:val="13"/>
    <w:semiHidden/>
    <w:unhideWhenUsed/>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unhideWhenUsed/>
    <w:uiPriority w:val="99"/>
    <w:rPr>
      <w:color w:val="0000FF"/>
      <w:u w:val="non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1">
    <w:name w:val="List Paragraph"/>
    <w:basedOn w:val="1"/>
    <w:qFormat/>
    <w:uiPriority w:val="34"/>
    <w:pPr>
      <w:ind w:firstLine="420" w:firstLineChars="200"/>
    </w:pPr>
  </w:style>
  <w:style w:type="paragraph" w:customStyle="1" w:styleId="12">
    <w:name w:val="样式2"/>
    <w:basedOn w:val="1"/>
    <w:uiPriority w:val="0"/>
    <w:rPr>
      <w:rFonts w:ascii="宋体" w:hAnsi="宋体" w:eastAsia="宋体" w:cs="Symeteo"/>
      <w:bCs/>
      <w:color w:val="FF0000"/>
      <w:sz w:val="24"/>
      <w:szCs w:val="24"/>
    </w:rPr>
  </w:style>
  <w:style w:type="character" w:customStyle="1" w:styleId="13">
    <w:name w:val="批注框文本 Char"/>
    <w:basedOn w:val="6"/>
    <w:link w:val="3"/>
    <w:semiHidden/>
    <w:uiPriority w:val="99"/>
    <w:rPr>
      <w:sz w:val="18"/>
      <w:szCs w:val="18"/>
    </w:rPr>
  </w:style>
  <w:style w:type="character" w:customStyle="1" w:styleId="14">
    <w:name w:val="页眉 Char"/>
    <w:basedOn w:val="6"/>
    <w:link w:val="5"/>
    <w:uiPriority w:val="99"/>
    <w:rPr>
      <w:sz w:val="18"/>
      <w:szCs w:val="18"/>
    </w:rPr>
  </w:style>
  <w:style w:type="character" w:customStyle="1" w:styleId="15">
    <w:name w:val="页脚 Char"/>
    <w:basedOn w:val="6"/>
    <w:link w:val="4"/>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418</Words>
  <Characters>2385</Characters>
  <Lines>19</Lines>
  <Paragraphs>5</Paragraphs>
  <TotalTime>0</TotalTime>
  <ScaleCrop>false</ScaleCrop>
  <LinksUpToDate>false</LinksUpToDate>
  <CharactersWithSpaces>2798</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2016-11-16T07:25:00Z</dcterms:created>
  <dc:creator>xiqiang yang</dc:creator>
  <cp:lastModifiedBy>QY</cp:lastModifiedBy>
  <cp:lastPrinted>2014-04-28T01:34:00Z</cp:lastPrinted>
  <dcterms:modified xsi:type="dcterms:W3CDTF">2018-12-04T07:32:27Z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