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7" w:name="_GoBack"/>
      <w:r>
        <w:rPr>
          <w:rFonts w:hint="eastAsia"/>
          <w:b/>
          <w:sz w:val="32"/>
          <w:szCs w:val="32"/>
        </w:rPr>
        <w:t>马克思哲学经典著作导读</w:t>
      </w:r>
      <w:bookmarkEnd w:id="7"/>
      <w:r>
        <w:rPr>
          <w:b/>
          <w:sz w:val="32"/>
          <w:szCs w:val="32"/>
        </w:rPr>
        <w:t>课程教学大纲</w:t>
      </w:r>
    </w:p>
    <w:p>
      <w:pPr>
        <w:ind w:firstLine="1050" w:firstLineChars="500"/>
      </w:pPr>
    </w:p>
    <w:tbl>
      <w:tblPr>
        <w:tblStyle w:val="11"/>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3"/>
        <w:gridCol w:w="1265"/>
        <w:gridCol w:w="1515"/>
        <w:gridCol w:w="1397"/>
        <w:gridCol w:w="618"/>
        <w:gridCol w:w="1214"/>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课程代码</w:t>
            </w:r>
          </w:p>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Course Code）</w:t>
            </w:r>
          </w:p>
        </w:tc>
        <w:tc>
          <w:tcPr>
            <w:tcW w:w="1265" w:type="dxa"/>
            <w:vAlign w:val="center"/>
          </w:tcPr>
          <w:p>
            <w:pPr>
              <w:rPr>
                <w:color w:val="000000" w:themeColor="text1"/>
                <w:w w:val="90"/>
                <w:sz w:val="21"/>
                <w:szCs w:val="21"/>
                <w14:textFill>
                  <w14:solidFill>
                    <w14:schemeClr w14:val="tx1"/>
                  </w14:solidFill>
                </w14:textFill>
              </w:rPr>
            </w:pPr>
            <w:r>
              <w:rPr>
                <w:rFonts w:hint="eastAsia"/>
                <w:color w:val="000000" w:themeColor="text1"/>
                <w:w w:val="90"/>
                <w:sz w:val="21"/>
                <w:szCs w:val="21"/>
                <w14:textFill>
                  <w14:solidFill>
                    <w14:schemeClr w14:val="tx1"/>
                  </w14:solidFill>
                </w14:textFill>
              </w:rPr>
              <w:t>PI902</w:t>
            </w:r>
          </w:p>
        </w:tc>
        <w:tc>
          <w:tcPr>
            <w:tcW w:w="1515"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学时</w:t>
            </w:r>
          </w:p>
          <w:p>
            <w:pPr>
              <w:jc w:val="center"/>
              <w:rPr>
                <w:color w:val="000000" w:themeColor="text1"/>
                <w:w w:val="90"/>
                <w:sz w:val="21"/>
                <w:szCs w:val="21"/>
                <w14:textFill>
                  <w14:solidFill>
                    <w14:schemeClr w14:val="tx1"/>
                  </w14:solidFill>
                </w14:textFill>
              </w:rPr>
            </w:pPr>
            <w:r>
              <w:rPr>
                <w:color w:val="000000" w:themeColor="text1"/>
                <w:w w:val="90"/>
                <w:sz w:val="21"/>
                <w:szCs w:val="21"/>
                <w14:textFill>
                  <w14:solidFill>
                    <w14:schemeClr w14:val="tx1"/>
                  </w14:solidFill>
                </w14:textFill>
              </w:rPr>
              <w:t>（Credit</w:t>
            </w:r>
            <w:r>
              <w:rPr>
                <w:rFonts w:hint="eastAsia"/>
                <w:color w:val="000000" w:themeColor="text1"/>
                <w:w w:val="90"/>
                <w:sz w:val="21"/>
                <w:szCs w:val="21"/>
                <w14:textFill>
                  <w14:solidFill>
                    <w14:schemeClr w14:val="tx1"/>
                  </w14:solidFill>
                </w14:textFill>
              </w:rPr>
              <w:t xml:space="preserve"> Hours</w:t>
            </w:r>
            <w:r>
              <w:rPr>
                <w:color w:val="000000" w:themeColor="text1"/>
                <w:w w:val="90"/>
                <w:sz w:val="21"/>
                <w:szCs w:val="21"/>
                <w14:textFill>
                  <w14:solidFill>
                    <w14:schemeClr w14:val="tx1"/>
                  </w14:solidFill>
                </w14:textFill>
              </w:rPr>
              <w:t>）</w:t>
            </w:r>
          </w:p>
        </w:tc>
        <w:tc>
          <w:tcPr>
            <w:tcW w:w="1397"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32</w:t>
            </w:r>
          </w:p>
        </w:tc>
        <w:tc>
          <w:tcPr>
            <w:tcW w:w="1832" w:type="dxa"/>
            <w:gridSpan w:val="2"/>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学分</w:t>
            </w:r>
          </w:p>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（Credits）</w:t>
            </w:r>
          </w:p>
        </w:tc>
        <w:tc>
          <w:tcPr>
            <w:tcW w:w="1702" w:type="dxa"/>
            <w:gridSpan w:val="2"/>
            <w:vAlign w:val="center"/>
          </w:tcPr>
          <w:p>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213" w:type="dxa"/>
            <w:vMerge w:val="restart"/>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课程名称</w:t>
            </w:r>
          </w:p>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Course Name）</w:t>
            </w:r>
          </w:p>
        </w:tc>
        <w:tc>
          <w:tcPr>
            <w:tcW w:w="7711" w:type="dxa"/>
            <w:gridSpan w:val="7"/>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（中文）马克思哲学经典著作导读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213" w:type="dxa"/>
            <w:vMerge w:val="continue"/>
          </w:tcPr>
          <w:p>
            <w:pPr>
              <w:jc w:val="left"/>
              <w:rPr>
                <w:color w:val="000000" w:themeColor="text1"/>
                <w:sz w:val="21"/>
                <w:szCs w:val="21"/>
                <w14:textFill>
                  <w14:solidFill>
                    <w14:schemeClr w14:val="tx1"/>
                  </w14:solidFill>
                </w14:textFill>
              </w:rPr>
            </w:pPr>
          </w:p>
        </w:tc>
        <w:tc>
          <w:tcPr>
            <w:tcW w:w="7711" w:type="dxa"/>
            <w:gridSpan w:val="7"/>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（英文）</w:t>
            </w:r>
            <w:r>
              <w:rPr>
                <w:color w:val="000000" w:themeColor="text1"/>
                <w:sz w:val="21"/>
                <w:szCs w:val="21"/>
                <w14:textFill>
                  <w14:solidFill>
                    <w14:schemeClr w14:val="tx1"/>
                  </w14:solidFill>
                </w14:textFill>
              </w:rPr>
              <w:t> </w:t>
            </w:r>
            <w:r>
              <w:rPr>
                <w:rFonts w:hint="eastAsia"/>
                <w:color w:val="000000" w:themeColor="text1"/>
                <w:sz w:val="21"/>
                <w:szCs w:val="21"/>
                <w14:textFill>
                  <w14:solidFill>
                    <w14:schemeClr w14:val="tx1"/>
                  </w14:solidFill>
                </w14:textFill>
              </w:rPr>
              <w:t>T</w:t>
            </w:r>
            <w:r>
              <w:rPr>
                <w:color w:val="000000" w:themeColor="text1"/>
                <w:sz w:val="21"/>
                <w:szCs w:val="21"/>
                <w14:textFill>
                  <w14:solidFill>
                    <w14:schemeClr w14:val="tx1"/>
                  </w14:solidFill>
                </w14:textFill>
              </w:rPr>
              <w:t xml:space="preserve">he </w:t>
            </w:r>
            <w:r>
              <w:rPr>
                <w:rFonts w:hint="eastAsia"/>
                <w:color w:val="000000" w:themeColor="text1"/>
                <w:sz w:val="21"/>
                <w:szCs w:val="21"/>
                <w14:textFill>
                  <w14:solidFill>
                    <w14:schemeClr w14:val="tx1"/>
                  </w14:solidFill>
                </w14:textFill>
              </w:rPr>
              <w:t>R</w:t>
            </w:r>
            <w:r>
              <w:rPr>
                <w:color w:val="000000" w:themeColor="text1"/>
                <w:sz w:val="21"/>
                <w:szCs w:val="21"/>
                <w14:textFill>
                  <w14:solidFill>
                    <w14:schemeClr w14:val="tx1"/>
                  </w14:solidFill>
                </w14:textFill>
              </w:rPr>
              <w:t xml:space="preserve">eading </w:t>
            </w:r>
            <w:r>
              <w:rPr>
                <w:rFonts w:hint="eastAsia"/>
                <w:color w:val="000000" w:themeColor="text1"/>
                <w:sz w:val="21"/>
                <w:szCs w:val="21"/>
                <w14:textFill>
                  <w14:solidFill>
                    <w14:schemeClr w14:val="tx1"/>
                  </w14:solidFill>
                </w14:textFill>
              </w:rPr>
              <w:t>G</w:t>
            </w:r>
            <w:r>
              <w:rPr>
                <w:color w:val="000000" w:themeColor="text1"/>
                <w:sz w:val="21"/>
                <w:szCs w:val="21"/>
                <w14:textFill>
                  <w14:solidFill>
                    <w14:schemeClr w14:val="tx1"/>
                  </w14:solidFill>
                </w14:textFill>
              </w:rPr>
              <w:t>uidance</w:t>
            </w:r>
            <w:r>
              <w:rPr>
                <w:rFonts w:hint="eastAsia"/>
                <w:color w:val="000000" w:themeColor="text1"/>
                <w:sz w:val="21"/>
                <w:szCs w:val="21"/>
                <w14:textFill>
                  <w14:solidFill>
                    <w14:schemeClr w14:val="tx1"/>
                  </w14:solidFill>
                </w14:textFill>
              </w:rPr>
              <w:t xml:space="preserve"> of Marx</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s Philosophical Classics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课程性质</w:t>
            </w:r>
          </w:p>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(Course Type)</w:t>
            </w:r>
          </w:p>
        </w:tc>
        <w:tc>
          <w:tcPr>
            <w:tcW w:w="7711" w:type="dxa"/>
            <w:gridSpan w:val="7"/>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通识教育核心课程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授课对象</w:t>
            </w:r>
          </w:p>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（Target Audience）</w:t>
            </w:r>
          </w:p>
        </w:tc>
        <w:tc>
          <w:tcPr>
            <w:tcW w:w="7711" w:type="dxa"/>
            <w:gridSpan w:val="7"/>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全校学生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授课语言</w:t>
            </w:r>
          </w:p>
          <w:p>
            <w:pPr>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(Language of Instruction)</w:t>
            </w:r>
          </w:p>
        </w:tc>
        <w:tc>
          <w:tcPr>
            <w:tcW w:w="7711" w:type="dxa"/>
            <w:gridSpan w:val="7"/>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*开课院系</w:t>
            </w:r>
          </w:p>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（School）</w:t>
            </w:r>
          </w:p>
        </w:tc>
        <w:tc>
          <w:tcPr>
            <w:tcW w:w="7711" w:type="dxa"/>
            <w:gridSpan w:val="7"/>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先修课程</w:t>
            </w:r>
          </w:p>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（Prerequisite）</w:t>
            </w:r>
          </w:p>
        </w:tc>
        <w:tc>
          <w:tcPr>
            <w:tcW w:w="7711" w:type="dxa"/>
            <w:gridSpan w:val="7"/>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1265"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授课教师</w:t>
            </w:r>
          </w:p>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（Instructor）</w:t>
            </w:r>
          </w:p>
        </w:tc>
        <w:tc>
          <w:tcPr>
            <w:tcW w:w="2780" w:type="dxa"/>
            <w:gridSpan w:val="2"/>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鲍金</w:t>
            </w:r>
          </w:p>
        </w:tc>
        <w:tc>
          <w:tcPr>
            <w:tcW w:w="2015" w:type="dxa"/>
            <w:gridSpan w:val="2"/>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课程网址</w:t>
            </w:r>
          </w:p>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 xml:space="preserve">Course </w:t>
            </w:r>
            <w:r>
              <w:rPr>
                <w:rFonts w:hint="eastAsia"/>
                <w:color w:val="000000" w:themeColor="text1"/>
                <w:sz w:val="21"/>
                <w:szCs w:val="21"/>
                <w14:textFill>
                  <w14:solidFill>
                    <w14:schemeClr w14:val="tx1"/>
                  </w14:solidFill>
                </w14:textFill>
              </w:rPr>
              <w:t>W</w:t>
            </w:r>
            <w:r>
              <w:rPr>
                <w:color w:val="000000" w:themeColor="text1"/>
                <w:sz w:val="21"/>
                <w:szCs w:val="21"/>
                <w14:textFill>
                  <w14:solidFill>
                    <w14:schemeClr w14:val="tx1"/>
                  </w14:solidFill>
                </w14:textFill>
              </w:rPr>
              <w:t>ebpage</w:t>
            </w:r>
            <w:r>
              <w:rPr>
                <w:rFonts w:hint="eastAsia"/>
                <w:color w:val="000000" w:themeColor="text1"/>
                <w:sz w:val="21"/>
                <w:szCs w:val="21"/>
                <w14:textFill>
                  <w14:solidFill>
                    <w14:schemeClr w14:val="tx1"/>
                  </w14:solidFill>
                </w14:textFill>
              </w:rPr>
              <w:t>)</w:t>
            </w:r>
          </w:p>
        </w:tc>
        <w:tc>
          <w:tcPr>
            <w:tcW w:w="2906" w:type="dxa"/>
            <w:gridSpan w:val="2"/>
            <w:vAlign w:val="center"/>
          </w:tcPr>
          <w:p>
            <w:pP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"http://cc.sjtu.edu.cn/G2S/" </w:instrText>
            </w:r>
            <w:r>
              <w:rPr>
                <w:color w:val="000000" w:themeColor="text1"/>
                <w:sz w:val="21"/>
                <w:szCs w:val="21"/>
                <w14:textFill>
                  <w14:solidFill>
                    <w14:schemeClr w14:val="tx1"/>
                  </w14:solidFill>
                </w14:textFill>
              </w:rPr>
              <w:fldChar w:fldCharType="separate"/>
            </w:r>
            <w:r>
              <w:rPr>
                <w:rStyle w:val="9"/>
                <w:color w:val="000000" w:themeColor="text1"/>
                <w:sz w:val="21"/>
                <w:szCs w:val="21"/>
                <w14:textFill>
                  <w14:solidFill>
                    <w14:schemeClr w14:val="tx1"/>
                  </w14:solidFill>
                </w14:textFill>
              </w:rPr>
              <w:t>http://cc.sjtu.edu.cn/G2S/</w:t>
            </w:r>
            <w:r>
              <w:rPr>
                <w:rStyle w:val="9"/>
                <w:color w:val="000000" w:themeColor="text1"/>
                <w:sz w:val="21"/>
                <w:szCs w:val="21"/>
                <w14:textFill>
                  <w14:solidFill>
                    <w14:schemeClr w14:val="tx1"/>
                  </w14:solidFill>
                </w14:textFill>
              </w:rPr>
              <w:fldChar w:fldCharType="end"/>
            </w:r>
          </w:p>
          <w:p>
            <w:pP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site/preview#/rich/v/112213?</w:t>
            </w:r>
          </w:p>
          <w:p>
            <w:pP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ref=&amp;currentoc=7137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*课程简介</w:t>
            </w:r>
            <w:r>
              <w:rPr>
                <w:rFonts w:hint="eastAsia"/>
                <w:color w:val="000000" w:themeColor="text1"/>
                <w:w w:val="90"/>
                <w:sz w:val="21"/>
                <w:szCs w:val="21"/>
                <w14:textFill>
                  <w14:solidFill>
                    <w14:schemeClr w14:val="tx1"/>
                  </w14:solidFill>
                </w14:textFill>
              </w:rPr>
              <w:t>（Description）</w:t>
            </w:r>
          </w:p>
        </w:tc>
        <w:tc>
          <w:tcPr>
            <w:tcW w:w="7711" w:type="dxa"/>
            <w:gridSpan w:val="7"/>
            <w:vAlign w:val="center"/>
          </w:tcPr>
          <w:p>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（中文300-500字，含课程性质、主要教学内容、课程教学目标等）</w:t>
            </w:r>
          </w:p>
          <w:p>
            <w:pPr>
              <w:spacing w:line="440" w:lineRule="exact"/>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读懂读通马克思留下的哲学经典著作，是全面掌握马克思主义哲学的基本功，是把马克思主义哲学作为看家本领的基础。只有阅读马克思哲学经典著作，从中提炼出思想观点，才能真正懂得和运用马克思哲学。  </w:t>
            </w:r>
          </w:p>
          <w:p>
            <w:pPr>
              <w:spacing w:line="440" w:lineRule="exact"/>
              <w:ind w:firstLine="420" w:firstLineChars="200"/>
              <w:rPr>
                <w:color w:val="000000" w:themeColor="text1"/>
                <w:sz w:val="21"/>
                <w:szCs w:val="21"/>
                <w14:textFill>
                  <w14:solidFill>
                    <w14:schemeClr w14:val="tx1"/>
                  </w14:solidFill>
                </w14:textFill>
              </w:rPr>
            </w:pPr>
            <w:bookmarkStart w:id="0" w:name="OLE_LINK2"/>
            <w:bookmarkStart w:id="1" w:name="OLE_LINK1"/>
            <w:r>
              <w:rPr>
                <w:rFonts w:hint="eastAsia" w:ascii="宋体" w:hAnsi="宋体"/>
                <w:color w:val="000000" w:themeColor="text1"/>
                <w:sz w:val="21"/>
                <w:szCs w:val="21"/>
                <w14:textFill>
                  <w14:solidFill>
                    <w14:schemeClr w14:val="tx1"/>
                  </w14:solidFill>
                </w14:textFill>
              </w:rPr>
              <w:t>基于上述理念，本课程站在当代思维方式的高度对马克思哲学著作进行导读和阐释，使对马克思哲学不甚了解或一知半解的同学在阅读经典著作的基础上，系统地了解马克思哲学的基本内容、主要特征、精神实质和价值意义，理解马克思哲学考察资本主义的批判态度、方法前提、辩证方法和价值指向，从而向学生展示出马克思哲学的革命性质和当代意义。通过本课程的学习，学生将在阅读马克思哲学经典著作的过程中，提升运用马克思哲学分析问题和解决问题的能力，使马克思哲学成为学生精神成长的理论支撑。</w:t>
            </w:r>
            <w:bookmarkEnd w:id="0"/>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213" w:type="dxa"/>
            <w:tcBorders>
              <w:bottom w:val="single" w:color="auto" w:sz="4" w:space="0"/>
            </w:tcBorders>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*课程简介</w:t>
            </w:r>
            <w:r>
              <w:rPr>
                <w:rFonts w:hint="eastAsia"/>
                <w:color w:val="000000" w:themeColor="text1"/>
                <w:w w:val="90"/>
                <w:sz w:val="21"/>
                <w:szCs w:val="21"/>
                <w14:textFill>
                  <w14:solidFill>
                    <w14:schemeClr w14:val="tx1"/>
                  </w14:solidFill>
                </w14:textFill>
              </w:rPr>
              <w:t>（Description）</w:t>
            </w:r>
          </w:p>
        </w:tc>
        <w:tc>
          <w:tcPr>
            <w:tcW w:w="7711" w:type="dxa"/>
            <w:gridSpan w:val="7"/>
            <w:tcBorders>
              <w:bottom w:val="single" w:color="auto" w:sz="4" w:space="0"/>
            </w:tcBorders>
            <w:vAlign w:val="center"/>
          </w:tcPr>
          <w:p>
            <w:pPr>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（英文300-500字）</w:t>
            </w:r>
          </w:p>
          <w:p>
            <w:pPr>
              <w:spacing w:line="440" w:lineRule="exact"/>
              <w:ind w:firstLine="420" w:firstLineChars="200"/>
              <w:rPr>
                <w:rFonts w:ascii="宋体" w:hAnsi="宋体"/>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To understand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 xml:space="preserve">s philosophical classics correctly by reading, is the basic skill of mastering Marxist philosophy comprehensively and </w:t>
            </w:r>
            <w:r>
              <w:rPr>
                <w:rFonts w:ascii="宋体" w:hAnsi="宋体"/>
                <w:color w:val="000000" w:themeColor="text1"/>
                <w:sz w:val="21"/>
                <w:szCs w:val="21"/>
                <w14:textFill>
                  <w14:solidFill>
                    <w14:schemeClr w14:val="tx1"/>
                  </w14:solidFill>
                </w14:textFill>
              </w:rPr>
              <w:t>the</w:t>
            </w:r>
            <w:r>
              <w:rPr>
                <w:rFonts w:hint="eastAsia" w:ascii="宋体" w:hAnsi="宋体"/>
                <w:color w:val="000000" w:themeColor="text1"/>
                <w:sz w:val="21"/>
                <w:szCs w:val="21"/>
                <w14:textFill>
                  <w14:solidFill>
                    <w14:schemeClr w14:val="tx1"/>
                  </w14:solidFill>
                </w14:textFill>
              </w:rPr>
              <w:t xml:space="preserve"> base of regarding Marxist philosophy as h</w:t>
            </w:r>
            <w:r>
              <w:rPr>
                <w:rFonts w:ascii="宋体" w:hAnsi="宋体"/>
                <w:color w:val="000000" w:themeColor="text1"/>
                <w:sz w:val="21"/>
                <w:szCs w:val="21"/>
                <w14:textFill>
                  <w14:solidFill>
                    <w14:schemeClr w14:val="tx1"/>
                  </w14:solidFill>
                </w14:textFill>
              </w:rPr>
              <w:t>ousekeeping skills</w:t>
            </w:r>
            <w:r>
              <w:rPr>
                <w:rFonts w:hint="eastAsia" w:ascii="宋体" w:hAnsi="宋体"/>
                <w:color w:val="000000" w:themeColor="text1"/>
                <w:sz w:val="21"/>
                <w:szCs w:val="21"/>
                <w14:textFill>
                  <w14:solidFill>
                    <w14:schemeClr w14:val="tx1"/>
                  </w14:solidFill>
                </w14:textFill>
              </w:rPr>
              <w:t>. Only through reading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philosophical classics and refining his thoughts, we can truly understand and apply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philosophy.</w:t>
            </w:r>
          </w:p>
          <w:p>
            <w:pPr>
              <w:spacing w:line="440" w:lineRule="exact"/>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Based on these ideas, this course aims to introduce and interpret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philosophical classics in the level of modern thoughts, in order to make students who have few knowledge on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philosophy know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philosophy</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basic contents, key features, spiritual essence and values, understand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philosophy</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 xml:space="preserve">s critical attitudes, methodological premise, dialectical method </w:t>
            </w:r>
            <w:r>
              <w:rPr>
                <w:rFonts w:ascii="宋体" w:hAnsi="宋体"/>
                <w:color w:val="000000" w:themeColor="text1"/>
                <w:sz w:val="21"/>
                <w:szCs w:val="21"/>
                <w14:textFill>
                  <w14:solidFill>
                    <w14:schemeClr w14:val="tx1"/>
                  </w14:solidFill>
                </w14:textFill>
              </w:rPr>
              <w:t>and</w:t>
            </w:r>
            <w:r>
              <w:rPr>
                <w:rFonts w:hint="eastAsia" w:ascii="宋体" w:hAnsi="宋体"/>
                <w:color w:val="000000" w:themeColor="text1"/>
                <w:sz w:val="21"/>
                <w:szCs w:val="21"/>
                <w14:textFill>
                  <w14:solidFill>
                    <w14:schemeClr w14:val="tx1"/>
                  </w14:solidFill>
                </w14:textFill>
              </w:rPr>
              <w:t xml:space="preserve"> value orientation when Marx researched capitalism, so that students can understand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philosophy</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 xml:space="preserve">s revolutionary character </w:t>
            </w:r>
            <w:r>
              <w:rPr>
                <w:rFonts w:ascii="宋体" w:hAnsi="宋体"/>
                <w:color w:val="000000" w:themeColor="text1"/>
                <w:sz w:val="21"/>
                <w:szCs w:val="21"/>
                <w14:textFill>
                  <w14:solidFill>
                    <w14:schemeClr w14:val="tx1"/>
                  </w14:solidFill>
                </w14:textFill>
              </w:rPr>
              <w:t>and</w:t>
            </w:r>
            <w:r>
              <w:rPr>
                <w:rFonts w:hint="eastAsia" w:ascii="宋体" w:hAnsi="宋体"/>
                <w:color w:val="000000" w:themeColor="text1"/>
                <w:sz w:val="21"/>
                <w:szCs w:val="21"/>
                <w14:textFill>
                  <w14:solidFill>
                    <w14:schemeClr w14:val="tx1"/>
                  </w14:solidFill>
                </w14:textFill>
              </w:rPr>
              <w:t xml:space="preserve"> modern value. </w:t>
            </w:r>
            <w:r>
              <w:rPr>
                <w:rFonts w:ascii="宋体" w:hAnsi="宋体"/>
                <w:color w:val="000000" w:themeColor="text1"/>
                <w:sz w:val="21"/>
                <w:szCs w:val="21"/>
                <w14:textFill>
                  <w14:solidFill>
                    <w14:schemeClr w14:val="tx1"/>
                  </w14:solidFill>
                </w14:textFill>
              </w:rPr>
              <w:t>T</w:t>
            </w:r>
            <w:r>
              <w:rPr>
                <w:rFonts w:hint="eastAsia" w:ascii="宋体" w:hAnsi="宋体"/>
                <w:color w:val="000000" w:themeColor="text1"/>
                <w:sz w:val="21"/>
                <w:szCs w:val="21"/>
                <w14:textFill>
                  <w14:solidFill>
                    <w14:schemeClr w14:val="tx1"/>
                  </w14:solidFill>
                </w14:textFill>
              </w:rPr>
              <w:t xml:space="preserve">hrough this </w:t>
            </w:r>
            <w:r>
              <w:rPr>
                <w:rFonts w:ascii="宋体" w:hAnsi="宋体"/>
                <w:color w:val="000000" w:themeColor="text1"/>
                <w:sz w:val="21"/>
                <w:szCs w:val="21"/>
                <w14:textFill>
                  <w14:solidFill>
                    <w14:schemeClr w14:val="tx1"/>
                  </w14:solidFill>
                </w14:textFill>
              </w:rPr>
              <w:t>course</w:t>
            </w:r>
            <w:r>
              <w:rPr>
                <w:rFonts w:hint="eastAsia" w:ascii="宋体" w:hAnsi="宋体"/>
                <w:color w:val="000000" w:themeColor="text1"/>
                <w:sz w:val="21"/>
                <w:szCs w:val="21"/>
                <w14:textFill>
                  <w14:solidFill>
                    <w14:schemeClr w14:val="tx1"/>
                  </w14:solidFill>
                </w14:textFill>
              </w:rPr>
              <w:t>, students will promote the abilities to analyze and resolve questions by applying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philosophy, so that Marx</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s philosophy could be theoretical support of students</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 xml:space="preserve"> spiritual growth.</w:t>
            </w:r>
          </w:p>
          <w:p>
            <w:pPr>
              <w:jc w:val="left"/>
              <w:rPr>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课程教学大纲（C</w:t>
            </w:r>
            <w:r>
              <w:rPr>
                <w:color w:val="000000" w:themeColor="text1"/>
                <w:sz w:val="21"/>
                <w:szCs w:val="21"/>
                <w14:textFill>
                  <w14:solidFill>
                    <w14:schemeClr w14:val="tx1"/>
                  </w14:solidFill>
                </w14:textFill>
              </w:rPr>
              <w:t xml:space="preserve">ourse </w:t>
            </w:r>
            <w:r>
              <w:rPr>
                <w:rFonts w:hint="eastAsia"/>
                <w:color w:val="000000" w:themeColor="text1"/>
                <w:sz w:val="21"/>
                <w:szCs w:val="21"/>
                <w14:textFill>
                  <w14:solidFill>
                    <w14:schemeClr w14:val="tx1"/>
                  </w14:solidFill>
                </w14:textFill>
              </w:rPr>
              <w:t>S</w:t>
            </w:r>
            <w:r>
              <w:rPr>
                <w:color w:val="000000" w:themeColor="text1"/>
                <w:sz w:val="21"/>
                <w:szCs w:val="21"/>
                <w14:textFill>
                  <w14:solidFill>
                    <w14:schemeClr w14:val="tx1"/>
                  </w14:solidFill>
                </w14:textFill>
              </w:rPr>
              <w:t>yllabus</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213" w:type="dxa"/>
            <w:vAlign w:val="center"/>
          </w:tcPr>
          <w:p>
            <w:pPr>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*学习目标</w:t>
            </w:r>
          </w:p>
          <w:p>
            <w:pPr>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(Learning Outcomes)</w:t>
            </w:r>
          </w:p>
        </w:tc>
        <w:tc>
          <w:tcPr>
            <w:tcW w:w="7711" w:type="dxa"/>
            <w:gridSpan w:val="7"/>
            <w:vAlign w:val="center"/>
          </w:tcPr>
          <w:p>
            <w:pPr>
              <w:rPr>
                <w:color w:val="000000" w:themeColor="text1"/>
                <w:sz w:val="21"/>
                <w:szCs w:val="21"/>
                <w14:textFill>
                  <w14:solidFill>
                    <w14:schemeClr w14:val="tx1"/>
                  </w14:solidFill>
                </w14:textFill>
              </w:rPr>
            </w:pPr>
          </w:p>
          <w:p>
            <w:pPr>
              <w:spacing w:line="360" w:lineRule="auto"/>
              <w:rPr>
                <w:color w:val="000000" w:themeColor="text1"/>
                <w:sz w:val="21"/>
                <w:szCs w:val="21"/>
                <w14:textFill>
                  <w14:solidFill>
                    <w14:schemeClr w14:val="tx1"/>
                  </w14:solidFill>
                </w14:textFill>
              </w:rPr>
            </w:pPr>
            <w:bookmarkStart w:id="2" w:name="OLE_LINK3"/>
            <w:r>
              <w:rPr>
                <w:rFonts w:hint="eastAsia"/>
                <w:color w:val="000000" w:themeColor="text1"/>
                <w:sz w:val="21"/>
                <w:szCs w:val="21"/>
                <w14:textFill>
                  <w14:solidFill>
                    <w14:schemeClr w14:val="tx1"/>
                  </w14:solidFill>
                </w14:textFill>
              </w:rPr>
              <w:t>1．在知识拓展方面，促使学生熟悉第一手的马克思哲学经典著作，了解马克思哲学的本来面目和精神实质，使马克思哲学的真实形象在学生视野中真正地立体和丰富起来。</w:t>
            </w:r>
          </w:p>
          <w:p>
            <w:pPr>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2．在能力提升方面，促使学生能够运用马克思哲学的立场、观点和方法分析现代社会的重要理论问题和重大现实问题，能够把马克思哲学作为自己从理论上解决问题的看家本领，从而真正掌握马克思哲学。</w:t>
            </w:r>
          </w:p>
          <w:p>
            <w:pPr>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3．在素质养成方面，促使学生从对马克思哲学的无知、误解转变为对马克思哲学的理解、认同，发挥马克思哲学理论对于学生精神成长的重要支撑作用。</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3" w:type="dxa"/>
            <w:vAlign w:val="center"/>
          </w:tcPr>
          <w:p>
            <w:pPr>
              <w:spacing w:line="460" w:lineRule="exact"/>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*教学内容</w:t>
            </w:r>
          </w:p>
          <w:p>
            <w:pPr>
              <w:spacing w:line="460" w:lineRule="exact"/>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进度安排及要求</w:t>
            </w:r>
          </w:p>
          <w:p>
            <w:pPr>
              <w:spacing w:line="460" w:lineRule="exact"/>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Class Schedule</w:t>
            </w:r>
            <w:r>
              <w:rPr>
                <w:rFonts w:hint="eastAsia"/>
                <w:color w:val="000000" w:themeColor="text1"/>
                <w:sz w:val="21"/>
                <w:szCs w:val="21"/>
                <w14:textFill>
                  <w14:solidFill>
                    <w14:schemeClr w14:val="tx1"/>
                  </w14:solidFill>
                </w14:textFill>
              </w:rPr>
              <w:t xml:space="preserve"> &amp; </w:t>
            </w:r>
            <w:r>
              <w:rPr>
                <w:color w:val="000000" w:themeColor="text1"/>
                <w:sz w:val="21"/>
                <w:szCs w:val="21"/>
                <w14:textFill>
                  <w14:solidFill>
                    <w14:schemeClr w14:val="tx1"/>
                  </w14:solidFill>
                </w14:textFill>
              </w:rPr>
              <w:t>Requirements</w:t>
            </w:r>
            <w:r>
              <w:rPr>
                <w:rFonts w:hint="eastAsia"/>
                <w:color w:val="000000" w:themeColor="text1"/>
                <w:sz w:val="21"/>
                <w:szCs w:val="21"/>
                <w14:textFill>
                  <w14:solidFill>
                    <w14:schemeClr w14:val="tx1"/>
                  </w14:solidFill>
                </w14:textFill>
              </w:rPr>
              <w:t>)</w:t>
            </w:r>
          </w:p>
        </w:tc>
        <w:tc>
          <w:tcPr>
            <w:tcW w:w="7711" w:type="dxa"/>
            <w:gridSpan w:val="7"/>
            <w:vAlign w:val="center"/>
          </w:tcPr>
          <w:tbl>
            <w:tblPr>
              <w:tblStyle w:val="11"/>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教学内容</w:t>
                  </w:r>
                </w:p>
              </w:tc>
              <w:tc>
                <w:tcPr>
                  <w:tcW w:w="816" w:type="dxa"/>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学时</w:t>
                  </w:r>
                </w:p>
              </w:tc>
              <w:tc>
                <w:tcPr>
                  <w:tcW w:w="1334" w:type="dxa"/>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教学方式</w:t>
                  </w:r>
                </w:p>
              </w:tc>
              <w:tc>
                <w:tcPr>
                  <w:tcW w:w="1355" w:type="dxa"/>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作业及要求</w:t>
                  </w:r>
                </w:p>
              </w:tc>
              <w:tc>
                <w:tcPr>
                  <w:tcW w:w="1146" w:type="dxa"/>
                </w:tcPr>
                <w:p>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基本要求</w:t>
                  </w:r>
                </w:p>
              </w:tc>
              <w:tc>
                <w:tcPr>
                  <w:tcW w:w="1162" w:type="dxa"/>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马克思哲学经典著作导论</w:t>
                  </w:r>
                </w:p>
              </w:tc>
              <w:tc>
                <w:tcPr>
                  <w:tcW w:w="816"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c>
                <w:tcPr>
                  <w:tcW w:w="1334" w:type="dxa"/>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讲授</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课堂讨论</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文本阅读</w:t>
                  </w:r>
                </w:p>
              </w:tc>
              <w:tc>
                <w:tcPr>
                  <w:tcW w:w="1355" w:type="dxa"/>
                  <w:vMerge w:val="restart"/>
                  <w:vAlign w:val="center"/>
                </w:tcPr>
                <w:p>
                  <w:pPr>
                    <w:jc w:val="center"/>
                    <w:rPr>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围绕指定的主题思考和分析相关问题，要求以小组形式完成报告，并且在课堂上进行展示和讨论，或者独立完成小论文。</w:t>
                  </w:r>
                </w:p>
              </w:tc>
              <w:tc>
                <w:tcPr>
                  <w:tcW w:w="1146" w:type="dxa"/>
                  <w:vMerge w:val="restart"/>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选择做报告的同学</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要求</w:t>
                  </w:r>
                  <w:r>
                    <w:rPr>
                      <w:rFonts w:hint="eastAsia"/>
                      <w:color w:val="000000" w:themeColor="text1"/>
                      <w:sz w:val="21"/>
                      <w:szCs w:val="21"/>
                      <w14:textFill>
                        <w14:solidFill>
                          <w14:schemeClr w14:val="tx1"/>
                        </w14:solidFill>
                      </w14:textFill>
                    </w:rPr>
                    <w:t>报告必须依据马克思著作，实现“经典与现实相结合”的效果。选择写小论文的同学，要求小论文观点明确、言之成理，最好有一定新意。</w:t>
                  </w:r>
                </w:p>
                <w:p>
                  <w:pPr>
                    <w:jc w:val="center"/>
                    <w:rPr>
                      <w:color w:val="000000" w:themeColor="text1"/>
                      <w:sz w:val="21"/>
                      <w:szCs w:val="21"/>
                      <w14:textFill>
                        <w14:solidFill>
                          <w14:schemeClr w14:val="tx1"/>
                        </w14:solidFill>
                      </w14:textFill>
                    </w:rPr>
                  </w:pPr>
                </w:p>
              </w:tc>
              <w:tc>
                <w:tcPr>
                  <w:tcW w:w="1162" w:type="dxa"/>
                  <w:vMerge w:val="restart"/>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对于选择做报告的同学</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考查方式是课堂展示所做</w:t>
                  </w:r>
                  <w:r>
                    <w:rPr>
                      <w:rFonts w:hint="eastAsia"/>
                      <w:color w:val="000000" w:themeColor="text1"/>
                      <w:sz w:val="21"/>
                      <w:szCs w:val="21"/>
                      <w14:textFill>
                        <w14:solidFill>
                          <w14:schemeClr w14:val="tx1"/>
                        </w14:solidFill>
                      </w14:textFill>
                    </w:rPr>
                    <w:t>的报告；对于选择写小论文的同学，考查方式是对论文的观点和逻辑进行评分。除此之外，还通过课堂提问和互动等方式进行考查。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异化与人的本质的颠倒：《</w:t>
                  </w:r>
                  <w:r>
                    <w:rPr>
                      <w:color w:val="000000" w:themeColor="text1"/>
                      <w:sz w:val="21"/>
                      <w:szCs w:val="21"/>
                      <w14:textFill>
                        <w14:solidFill>
                          <w14:schemeClr w14:val="tx1"/>
                        </w14:solidFill>
                      </w14:textFill>
                    </w:rPr>
                    <w:t>1844</w:t>
                  </w:r>
                  <w:r>
                    <w:rPr>
                      <w:rFonts w:hint="eastAsia"/>
                      <w:color w:val="000000" w:themeColor="text1"/>
                      <w:sz w:val="21"/>
                      <w:szCs w:val="21"/>
                      <w14:textFill>
                        <w14:solidFill>
                          <w14:schemeClr w14:val="tx1"/>
                        </w14:solidFill>
                      </w14:textFill>
                    </w:rPr>
                    <w:t>年经济学哲学手稿》导读</w:t>
                  </w:r>
                </w:p>
              </w:tc>
              <w:tc>
                <w:tcPr>
                  <w:tcW w:w="816" w:type="dxa"/>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w:t>
                  </w:r>
                </w:p>
              </w:tc>
              <w:tc>
                <w:tcPr>
                  <w:tcW w:w="1334" w:type="dxa"/>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讲授</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课堂讨论</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文本阅读</w:t>
                  </w:r>
                </w:p>
              </w:tc>
              <w:tc>
                <w:tcPr>
                  <w:tcW w:w="1355" w:type="dxa"/>
                  <w:vMerge w:val="continue"/>
                  <w:vAlign w:val="center"/>
                </w:tcPr>
                <w:p>
                  <w:pPr>
                    <w:jc w:val="center"/>
                    <w:rPr>
                      <w:color w:val="000000" w:themeColor="text1"/>
                      <w:sz w:val="21"/>
                      <w:szCs w:val="21"/>
                      <w14:textFill>
                        <w14:solidFill>
                          <w14:schemeClr w14:val="tx1"/>
                        </w14:solidFill>
                      </w14:textFill>
                    </w:rPr>
                  </w:pPr>
                </w:p>
              </w:tc>
              <w:tc>
                <w:tcPr>
                  <w:tcW w:w="1146" w:type="dxa"/>
                  <w:vMerge w:val="continue"/>
                  <w:vAlign w:val="center"/>
                </w:tcPr>
                <w:p>
                  <w:pPr>
                    <w:jc w:val="center"/>
                    <w:rPr>
                      <w:color w:val="000000" w:themeColor="text1"/>
                      <w:sz w:val="21"/>
                      <w:szCs w:val="21"/>
                      <w14:textFill>
                        <w14:solidFill>
                          <w14:schemeClr w14:val="tx1"/>
                        </w14:solidFill>
                      </w14:textFill>
                    </w:rPr>
                  </w:pPr>
                </w:p>
              </w:tc>
              <w:tc>
                <w:tcPr>
                  <w:tcW w:w="1162" w:type="dxa"/>
                  <w:vMerge w:val="continue"/>
                  <w:vAlign w:val="center"/>
                </w:tcPr>
                <w:p>
                  <w:pPr>
                    <w:jc w:val="center"/>
                    <w:rPr>
                      <w:color w:val="000000" w:themeColor="text1"/>
                      <w:sz w:val="21"/>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唯物史观的基本原理：《德意志意识形态》导读</w:t>
                  </w:r>
                </w:p>
              </w:tc>
              <w:tc>
                <w:tcPr>
                  <w:tcW w:w="816"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0</w:t>
                  </w:r>
                </w:p>
              </w:tc>
              <w:tc>
                <w:tcPr>
                  <w:tcW w:w="1334" w:type="dxa"/>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讲授</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课堂讨论</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文本阅读</w:t>
                  </w:r>
                </w:p>
              </w:tc>
              <w:tc>
                <w:tcPr>
                  <w:tcW w:w="1355" w:type="dxa"/>
                  <w:vMerge w:val="continue"/>
                  <w:vAlign w:val="center"/>
                </w:tcPr>
                <w:p>
                  <w:pPr>
                    <w:jc w:val="center"/>
                    <w:rPr>
                      <w:color w:val="000000" w:themeColor="text1"/>
                      <w:sz w:val="21"/>
                      <w:szCs w:val="21"/>
                      <w14:textFill>
                        <w14:solidFill>
                          <w14:schemeClr w14:val="tx1"/>
                        </w14:solidFill>
                      </w14:textFill>
                    </w:rPr>
                  </w:pPr>
                </w:p>
              </w:tc>
              <w:tc>
                <w:tcPr>
                  <w:tcW w:w="1146" w:type="dxa"/>
                  <w:vMerge w:val="continue"/>
                  <w:vAlign w:val="center"/>
                </w:tcPr>
                <w:p>
                  <w:pPr>
                    <w:jc w:val="center"/>
                    <w:rPr>
                      <w:color w:val="000000" w:themeColor="text1"/>
                      <w:sz w:val="21"/>
                      <w:szCs w:val="21"/>
                      <w14:textFill>
                        <w14:solidFill>
                          <w14:schemeClr w14:val="tx1"/>
                        </w14:solidFill>
                      </w14:textFill>
                    </w:rPr>
                  </w:pPr>
                </w:p>
              </w:tc>
              <w:tc>
                <w:tcPr>
                  <w:tcW w:w="1162" w:type="dxa"/>
                  <w:vMerge w:val="continue"/>
                  <w:vAlign w:val="center"/>
                </w:tcPr>
                <w:p>
                  <w:pPr>
                    <w:jc w:val="center"/>
                    <w:rPr>
                      <w:color w:val="000000" w:themeColor="text1"/>
                      <w:sz w:val="21"/>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道德评价的限度：马克思的亚洲论述导读</w:t>
                  </w:r>
                </w:p>
              </w:tc>
              <w:tc>
                <w:tcPr>
                  <w:tcW w:w="816"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c>
                <w:tcPr>
                  <w:tcW w:w="1334" w:type="dxa"/>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讲授</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课堂讨论</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文本阅读</w:t>
                  </w:r>
                </w:p>
              </w:tc>
              <w:tc>
                <w:tcPr>
                  <w:tcW w:w="1355" w:type="dxa"/>
                  <w:vMerge w:val="continue"/>
                  <w:vAlign w:val="center"/>
                </w:tcPr>
                <w:p>
                  <w:pPr>
                    <w:jc w:val="center"/>
                    <w:rPr>
                      <w:color w:val="000000" w:themeColor="text1"/>
                      <w:sz w:val="21"/>
                      <w:szCs w:val="21"/>
                      <w14:textFill>
                        <w14:solidFill>
                          <w14:schemeClr w14:val="tx1"/>
                        </w14:solidFill>
                      </w14:textFill>
                    </w:rPr>
                  </w:pPr>
                </w:p>
              </w:tc>
              <w:tc>
                <w:tcPr>
                  <w:tcW w:w="1146" w:type="dxa"/>
                  <w:vMerge w:val="continue"/>
                  <w:vAlign w:val="center"/>
                </w:tcPr>
                <w:p>
                  <w:pPr>
                    <w:jc w:val="center"/>
                    <w:rPr>
                      <w:color w:val="000000" w:themeColor="text1"/>
                      <w:sz w:val="21"/>
                      <w:szCs w:val="21"/>
                      <w14:textFill>
                        <w14:solidFill>
                          <w14:schemeClr w14:val="tx1"/>
                        </w14:solidFill>
                      </w14:textFill>
                    </w:rPr>
                  </w:pPr>
                </w:p>
              </w:tc>
              <w:tc>
                <w:tcPr>
                  <w:tcW w:w="1162" w:type="dxa"/>
                  <w:vMerge w:val="continue"/>
                  <w:vAlign w:val="center"/>
                </w:tcPr>
                <w:p>
                  <w:pPr>
                    <w:jc w:val="center"/>
                    <w:rPr>
                      <w:color w:val="000000" w:themeColor="text1"/>
                      <w:sz w:val="21"/>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trPr>
              <w:tc>
                <w:tcPr>
                  <w:tcW w:w="1456" w:type="dxa"/>
                  <w:vAlign w:val="center"/>
                </w:tcPr>
                <w:p>
                  <w:pPr>
                    <w:jc w:val="center"/>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期末考试</w:t>
                  </w:r>
                </w:p>
              </w:tc>
              <w:tc>
                <w:tcPr>
                  <w:tcW w:w="816"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c>
                <w:tcPr>
                  <w:tcW w:w="4997" w:type="dxa"/>
                  <w:gridSpan w:val="4"/>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color w:val="000000" w:themeColor="text1"/>
                      <w:sz w:val="21"/>
                      <w:szCs w:val="21"/>
                      <w14:textFill>
                        <w14:solidFill>
                          <w14:schemeClr w14:val="tx1"/>
                        </w14:solidFill>
                      </w14:textFill>
                    </w:rPr>
                  </w:pPr>
                </w:p>
              </w:tc>
              <w:tc>
                <w:tcPr>
                  <w:tcW w:w="816" w:type="dxa"/>
                  <w:vAlign w:val="center"/>
                </w:tcPr>
                <w:p>
                  <w:pPr>
                    <w:jc w:val="center"/>
                    <w:rPr>
                      <w:color w:val="000000" w:themeColor="text1"/>
                      <w:sz w:val="21"/>
                      <w:szCs w:val="21"/>
                      <w14:textFill>
                        <w14:solidFill>
                          <w14:schemeClr w14:val="tx1"/>
                        </w14:solidFill>
                      </w14:textFill>
                    </w:rPr>
                  </w:pPr>
                </w:p>
              </w:tc>
              <w:tc>
                <w:tcPr>
                  <w:tcW w:w="1334" w:type="dxa"/>
                  <w:vAlign w:val="center"/>
                </w:tcPr>
                <w:p>
                  <w:pPr>
                    <w:jc w:val="center"/>
                    <w:rPr>
                      <w:color w:val="000000" w:themeColor="text1"/>
                      <w:sz w:val="21"/>
                      <w:szCs w:val="21"/>
                      <w14:textFill>
                        <w14:solidFill>
                          <w14:schemeClr w14:val="tx1"/>
                        </w14:solidFill>
                      </w14:textFill>
                    </w:rPr>
                  </w:pPr>
                </w:p>
              </w:tc>
              <w:tc>
                <w:tcPr>
                  <w:tcW w:w="1355" w:type="dxa"/>
                  <w:vAlign w:val="center"/>
                </w:tcPr>
                <w:p>
                  <w:pPr>
                    <w:jc w:val="center"/>
                    <w:rPr>
                      <w:color w:val="000000" w:themeColor="text1"/>
                      <w:sz w:val="21"/>
                      <w:szCs w:val="21"/>
                      <w14:textFill>
                        <w14:solidFill>
                          <w14:schemeClr w14:val="tx1"/>
                        </w14:solidFill>
                      </w14:textFill>
                    </w:rPr>
                  </w:pPr>
                </w:p>
              </w:tc>
              <w:tc>
                <w:tcPr>
                  <w:tcW w:w="1146" w:type="dxa"/>
                  <w:vAlign w:val="center"/>
                </w:tcPr>
                <w:p>
                  <w:pPr>
                    <w:jc w:val="center"/>
                    <w:rPr>
                      <w:color w:val="000000" w:themeColor="text1"/>
                      <w:sz w:val="21"/>
                      <w:szCs w:val="21"/>
                      <w14:textFill>
                        <w14:solidFill>
                          <w14:schemeClr w14:val="tx1"/>
                        </w14:solidFill>
                      </w14:textFill>
                    </w:rPr>
                  </w:pPr>
                </w:p>
              </w:tc>
              <w:tc>
                <w:tcPr>
                  <w:tcW w:w="1162" w:type="dxa"/>
                  <w:vAlign w:val="center"/>
                </w:tcPr>
                <w:p>
                  <w:pPr>
                    <w:jc w:val="center"/>
                    <w:rPr>
                      <w:color w:val="000000" w:themeColor="text1"/>
                      <w:sz w:val="21"/>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color w:val="000000" w:themeColor="text1"/>
                      <w:sz w:val="21"/>
                      <w:szCs w:val="21"/>
                      <w14:textFill>
                        <w14:solidFill>
                          <w14:schemeClr w14:val="tx1"/>
                        </w14:solidFill>
                      </w14:textFill>
                    </w:rPr>
                  </w:pPr>
                </w:p>
              </w:tc>
              <w:tc>
                <w:tcPr>
                  <w:tcW w:w="816" w:type="dxa"/>
                  <w:vAlign w:val="center"/>
                </w:tcPr>
                <w:p>
                  <w:pPr>
                    <w:jc w:val="center"/>
                    <w:rPr>
                      <w:color w:val="000000" w:themeColor="text1"/>
                      <w:sz w:val="21"/>
                      <w:szCs w:val="21"/>
                      <w14:textFill>
                        <w14:solidFill>
                          <w14:schemeClr w14:val="tx1"/>
                        </w14:solidFill>
                      </w14:textFill>
                    </w:rPr>
                  </w:pPr>
                </w:p>
              </w:tc>
              <w:tc>
                <w:tcPr>
                  <w:tcW w:w="1334" w:type="dxa"/>
                  <w:vAlign w:val="center"/>
                </w:tcPr>
                <w:p>
                  <w:pPr>
                    <w:jc w:val="center"/>
                    <w:rPr>
                      <w:color w:val="000000" w:themeColor="text1"/>
                      <w:sz w:val="21"/>
                      <w:szCs w:val="21"/>
                      <w14:textFill>
                        <w14:solidFill>
                          <w14:schemeClr w14:val="tx1"/>
                        </w14:solidFill>
                      </w14:textFill>
                    </w:rPr>
                  </w:pPr>
                </w:p>
              </w:tc>
              <w:tc>
                <w:tcPr>
                  <w:tcW w:w="1355" w:type="dxa"/>
                  <w:vAlign w:val="center"/>
                </w:tcPr>
                <w:p>
                  <w:pPr>
                    <w:jc w:val="center"/>
                    <w:rPr>
                      <w:color w:val="000000" w:themeColor="text1"/>
                      <w:sz w:val="21"/>
                      <w:szCs w:val="21"/>
                      <w14:textFill>
                        <w14:solidFill>
                          <w14:schemeClr w14:val="tx1"/>
                        </w14:solidFill>
                      </w14:textFill>
                    </w:rPr>
                  </w:pPr>
                </w:p>
              </w:tc>
              <w:tc>
                <w:tcPr>
                  <w:tcW w:w="1146" w:type="dxa"/>
                  <w:vAlign w:val="center"/>
                </w:tcPr>
                <w:p>
                  <w:pPr>
                    <w:jc w:val="center"/>
                    <w:rPr>
                      <w:color w:val="000000" w:themeColor="text1"/>
                      <w:sz w:val="21"/>
                      <w:szCs w:val="21"/>
                      <w14:textFill>
                        <w14:solidFill>
                          <w14:schemeClr w14:val="tx1"/>
                        </w14:solidFill>
                      </w14:textFill>
                    </w:rPr>
                  </w:pPr>
                </w:p>
              </w:tc>
              <w:tc>
                <w:tcPr>
                  <w:tcW w:w="1162" w:type="dxa"/>
                  <w:vAlign w:val="center"/>
                </w:tcPr>
                <w:p>
                  <w:pPr>
                    <w:jc w:val="center"/>
                    <w:rPr>
                      <w:color w:val="000000" w:themeColor="text1"/>
                      <w:sz w:val="21"/>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color w:val="000000" w:themeColor="text1"/>
                      <w:sz w:val="21"/>
                      <w:szCs w:val="21"/>
                      <w14:textFill>
                        <w14:solidFill>
                          <w14:schemeClr w14:val="tx1"/>
                        </w14:solidFill>
                      </w14:textFill>
                    </w:rPr>
                  </w:pPr>
                </w:p>
              </w:tc>
              <w:tc>
                <w:tcPr>
                  <w:tcW w:w="816" w:type="dxa"/>
                  <w:vAlign w:val="center"/>
                </w:tcPr>
                <w:p>
                  <w:pPr>
                    <w:jc w:val="center"/>
                    <w:rPr>
                      <w:color w:val="000000" w:themeColor="text1"/>
                      <w:sz w:val="21"/>
                      <w:szCs w:val="21"/>
                      <w14:textFill>
                        <w14:solidFill>
                          <w14:schemeClr w14:val="tx1"/>
                        </w14:solidFill>
                      </w14:textFill>
                    </w:rPr>
                  </w:pPr>
                </w:p>
              </w:tc>
              <w:tc>
                <w:tcPr>
                  <w:tcW w:w="1334" w:type="dxa"/>
                  <w:vAlign w:val="center"/>
                </w:tcPr>
                <w:p>
                  <w:pPr>
                    <w:jc w:val="center"/>
                    <w:rPr>
                      <w:color w:val="000000" w:themeColor="text1"/>
                      <w:sz w:val="21"/>
                      <w:szCs w:val="21"/>
                      <w14:textFill>
                        <w14:solidFill>
                          <w14:schemeClr w14:val="tx1"/>
                        </w14:solidFill>
                      </w14:textFill>
                    </w:rPr>
                  </w:pPr>
                </w:p>
              </w:tc>
              <w:tc>
                <w:tcPr>
                  <w:tcW w:w="1355" w:type="dxa"/>
                  <w:vAlign w:val="center"/>
                </w:tcPr>
                <w:p>
                  <w:pPr>
                    <w:jc w:val="center"/>
                    <w:rPr>
                      <w:color w:val="000000" w:themeColor="text1"/>
                      <w:sz w:val="21"/>
                      <w:szCs w:val="21"/>
                      <w14:textFill>
                        <w14:solidFill>
                          <w14:schemeClr w14:val="tx1"/>
                        </w14:solidFill>
                      </w14:textFill>
                    </w:rPr>
                  </w:pPr>
                </w:p>
              </w:tc>
              <w:tc>
                <w:tcPr>
                  <w:tcW w:w="1146" w:type="dxa"/>
                  <w:vAlign w:val="center"/>
                </w:tcPr>
                <w:p>
                  <w:pPr>
                    <w:jc w:val="center"/>
                    <w:rPr>
                      <w:color w:val="000000" w:themeColor="text1"/>
                      <w:sz w:val="21"/>
                      <w:szCs w:val="21"/>
                      <w14:textFill>
                        <w14:solidFill>
                          <w14:schemeClr w14:val="tx1"/>
                        </w14:solidFill>
                      </w14:textFill>
                    </w:rPr>
                  </w:pPr>
                </w:p>
              </w:tc>
              <w:tc>
                <w:tcPr>
                  <w:tcW w:w="1162" w:type="dxa"/>
                  <w:vAlign w:val="center"/>
                </w:tcPr>
                <w:p>
                  <w:pPr>
                    <w:jc w:val="center"/>
                    <w:rPr>
                      <w:color w:val="000000" w:themeColor="text1"/>
                      <w:sz w:val="21"/>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rPr>
                      <w:color w:val="000000" w:themeColor="text1"/>
                      <w:sz w:val="21"/>
                      <w:szCs w:val="21"/>
                      <w14:textFill>
                        <w14:solidFill>
                          <w14:schemeClr w14:val="tx1"/>
                        </w14:solidFill>
                      </w14:textFill>
                    </w:rPr>
                  </w:pPr>
                </w:p>
              </w:tc>
              <w:tc>
                <w:tcPr>
                  <w:tcW w:w="816" w:type="dxa"/>
                  <w:vAlign w:val="center"/>
                </w:tcPr>
                <w:p>
                  <w:pPr>
                    <w:jc w:val="center"/>
                    <w:rPr>
                      <w:color w:val="000000" w:themeColor="text1"/>
                      <w:sz w:val="21"/>
                      <w:szCs w:val="21"/>
                      <w14:textFill>
                        <w14:solidFill>
                          <w14:schemeClr w14:val="tx1"/>
                        </w14:solidFill>
                      </w14:textFill>
                    </w:rPr>
                  </w:pPr>
                </w:p>
              </w:tc>
              <w:tc>
                <w:tcPr>
                  <w:tcW w:w="1334" w:type="dxa"/>
                  <w:vAlign w:val="center"/>
                </w:tcPr>
                <w:p>
                  <w:pPr>
                    <w:jc w:val="center"/>
                    <w:rPr>
                      <w:color w:val="000000" w:themeColor="text1"/>
                      <w:sz w:val="21"/>
                      <w:szCs w:val="21"/>
                      <w14:textFill>
                        <w14:solidFill>
                          <w14:schemeClr w14:val="tx1"/>
                        </w14:solidFill>
                      </w14:textFill>
                    </w:rPr>
                  </w:pPr>
                </w:p>
              </w:tc>
              <w:tc>
                <w:tcPr>
                  <w:tcW w:w="1355" w:type="dxa"/>
                  <w:vAlign w:val="center"/>
                </w:tcPr>
                <w:p>
                  <w:pPr>
                    <w:jc w:val="center"/>
                    <w:rPr>
                      <w:color w:val="000000" w:themeColor="text1"/>
                      <w:sz w:val="21"/>
                      <w:szCs w:val="21"/>
                      <w14:textFill>
                        <w14:solidFill>
                          <w14:schemeClr w14:val="tx1"/>
                        </w14:solidFill>
                      </w14:textFill>
                    </w:rPr>
                  </w:pPr>
                </w:p>
              </w:tc>
              <w:tc>
                <w:tcPr>
                  <w:tcW w:w="1146" w:type="dxa"/>
                  <w:vAlign w:val="center"/>
                </w:tcPr>
                <w:p>
                  <w:pPr>
                    <w:jc w:val="center"/>
                    <w:rPr>
                      <w:color w:val="000000" w:themeColor="text1"/>
                      <w:sz w:val="21"/>
                      <w:szCs w:val="21"/>
                      <w14:textFill>
                        <w14:solidFill>
                          <w14:schemeClr w14:val="tx1"/>
                        </w14:solidFill>
                      </w14:textFill>
                    </w:rPr>
                  </w:pPr>
                </w:p>
              </w:tc>
              <w:tc>
                <w:tcPr>
                  <w:tcW w:w="1162" w:type="dxa"/>
                  <w:vAlign w:val="center"/>
                </w:tcPr>
                <w:p>
                  <w:pPr>
                    <w:jc w:val="center"/>
                    <w:rPr>
                      <w:color w:val="000000" w:themeColor="text1"/>
                      <w:sz w:val="21"/>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816" w:type="dxa"/>
                  <w:vAlign w:val="center"/>
                </w:tcPr>
                <w:p>
                  <w:pPr>
                    <w:jc w:val="center"/>
                    <w:rPr>
                      <w:color w:val="000000" w:themeColor="text1"/>
                      <w:sz w:val="21"/>
                      <w:szCs w:val="21"/>
                      <w14:textFill>
                        <w14:solidFill>
                          <w14:schemeClr w14:val="tx1"/>
                        </w14:solidFill>
                      </w14:textFill>
                    </w:rPr>
                  </w:pPr>
                </w:p>
              </w:tc>
              <w:tc>
                <w:tcPr>
                  <w:tcW w:w="1334" w:type="dxa"/>
                  <w:vAlign w:val="center"/>
                </w:tcPr>
                <w:p>
                  <w:pPr>
                    <w:jc w:val="center"/>
                    <w:rPr>
                      <w:color w:val="000000" w:themeColor="text1"/>
                      <w:sz w:val="21"/>
                      <w:szCs w:val="21"/>
                      <w14:textFill>
                        <w14:solidFill>
                          <w14:schemeClr w14:val="tx1"/>
                        </w14:solidFill>
                      </w14:textFill>
                    </w:rPr>
                  </w:pPr>
                </w:p>
              </w:tc>
              <w:tc>
                <w:tcPr>
                  <w:tcW w:w="1355" w:type="dxa"/>
                  <w:vAlign w:val="center"/>
                </w:tcPr>
                <w:p>
                  <w:pPr>
                    <w:jc w:val="center"/>
                    <w:rPr>
                      <w:color w:val="000000" w:themeColor="text1"/>
                      <w:sz w:val="21"/>
                      <w:szCs w:val="21"/>
                      <w14:textFill>
                        <w14:solidFill>
                          <w14:schemeClr w14:val="tx1"/>
                        </w14:solidFill>
                      </w14:textFill>
                    </w:rPr>
                  </w:pPr>
                </w:p>
              </w:tc>
              <w:tc>
                <w:tcPr>
                  <w:tcW w:w="1146" w:type="dxa"/>
                  <w:vAlign w:val="center"/>
                </w:tcPr>
                <w:p>
                  <w:pPr>
                    <w:jc w:val="center"/>
                    <w:rPr>
                      <w:color w:val="000000" w:themeColor="text1"/>
                      <w:sz w:val="21"/>
                      <w:szCs w:val="21"/>
                      <w14:textFill>
                        <w14:solidFill>
                          <w14:schemeClr w14:val="tx1"/>
                        </w14:solidFill>
                      </w14:textFill>
                    </w:rPr>
                  </w:pPr>
                </w:p>
              </w:tc>
              <w:tc>
                <w:tcPr>
                  <w:tcW w:w="1162" w:type="dxa"/>
                  <w:vAlign w:val="center"/>
                </w:tcPr>
                <w:p>
                  <w:pPr>
                    <w:jc w:val="center"/>
                    <w:rPr>
                      <w:color w:val="000000" w:themeColor="text1"/>
                      <w:sz w:val="21"/>
                      <w:szCs w:val="21"/>
                      <w14:textFill>
                        <w14:solidFill>
                          <w14:schemeClr w14:val="tx1"/>
                        </w14:solidFill>
                      </w14:textFill>
                    </w:rPr>
                  </w:pPr>
                </w:p>
              </w:tc>
            </w:tr>
          </w:tbl>
          <w:p>
            <w:pPr>
              <w:rPr>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*考核方式 (Grading)</w:t>
            </w:r>
          </w:p>
        </w:tc>
        <w:tc>
          <w:tcPr>
            <w:tcW w:w="7711" w:type="dxa"/>
            <w:gridSpan w:val="7"/>
            <w:vAlign w:val="center"/>
          </w:tcPr>
          <w:p>
            <w:pPr>
              <w:pStyle w:val="5"/>
              <w:spacing w:before="0" w:beforeAutospacing="0" w:after="0" w:afterAutospacing="0" w:line="440" w:lineRule="exact"/>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（成</w:t>
            </w:r>
            <w:bookmarkStart w:id="3" w:name="OLE_LINK5"/>
            <w:bookmarkStart w:id="4" w:name="OLE_LINK6"/>
            <w:r>
              <w:rPr>
                <w:rFonts w:hint="eastAsia"/>
                <w:color w:val="000000" w:themeColor="text1"/>
                <w:sz w:val="21"/>
                <w:szCs w:val="21"/>
                <w14:textFill>
                  <w14:solidFill>
                    <w14:schemeClr w14:val="tx1"/>
                  </w14:solidFill>
                </w14:textFill>
              </w:rPr>
              <w:t>绩构成）</w:t>
            </w:r>
            <w:bookmarkEnd w:id="3"/>
            <w:bookmarkEnd w:id="4"/>
          </w:p>
          <w:p>
            <w:pPr>
              <w:pStyle w:val="5"/>
              <w:spacing w:before="0" w:beforeAutospacing="0" w:after="0" w:afterAutospacing="0" w:line="440" w:lineRule="exact"/>
              <w:ind w:firstLine="420" w:firstLineChars="200"/>
              <w:rPr>
                <w:rFonts w:ascii="Times New Roman" w:hAnsi="Times New Roman"/>
                <w:bCs/>
                <w:color w:val="000000" w:themeColor="text1"/>
                <w:sz w:val="21"/>
                <w:szCs w:val="21"/>
                <w14:textFill>
                  <w14:solidFill>
                    <w14:schemeClr w14:val="tx1"/>
                  </w14:solidFill>
                </w14:textFill>
              </w:rPr>
            </w:pPr>
            <w:bookmarkStart w:id="5" w:name="OLE_LINK7"/>
            <w:r>
              <w:rPr>
                <w:rFonts w:hint="eastAsia" w:ascii="Times New Roman" w:hAnsi="Times New Roman"/>
                <w:bCs/>
                <w:color w:val="000000" w:themeColor="text1"/>
                <w:sz w:val="21"/>
                <w:szCs w:val="21"/>
                <w14:textFill>
                  <w14:solidFill>
                    <w14:schemeClr w14:val="tx1"/>
                  </w14:solidFill>
                </w14:textFill>
              </w:rPr>
              <w:t>本课程的考核，由平时成绩和期末考试成绩两部分组成。</w:t>
            </w:r>
          </w:p>
          <w:p>
            <w:pPr>
              <w:pStyle w:val="5"/>
              <w:spacing w:before="0" w:beforeAutospacing="0" w:after="0" w:afterAutospacing="0" w:line="440" w:lineRule="exact"/>
              <w:ind w:firstLine="420" w:firstLineChars="200"/>
              <w:rPr>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平时学习成绩占总分的</w:t>
            </w:r>
            <w:r>
              <w:rPr>
                <w:rFonts w:hint="eastAsia" w:ascii="Times New Roman" w:hAnsi="Times New Roman"/>
                <w:bCs/>
                <w:color w:val="000000" w:themeColor="text1"/>
                <w:sz w:val="21"/>
                <w:szCs w:val="21"/>
                <w14:textFill>
                  <w14:solidFill>
                    <w14:schemeClr w14:val="tx1"/>
                  </w14:solidFill>
                </w14:textFill>
              </w:rPr>
              <w:t>40</w:t>
            </w:r>
            <w:r>
              <w:rPr>
                <w:rFonts w:ascii="Times New Roman" w:hAnsi="Times New Roman"/>
                <w:bCs/>
                <w:color w:val="000000" w:themeColor="text1"/>
                <w:sz w:val="21"/>
                <w:szCs w:val="21"/>
                <w14:textFill>
                  <w14:solidFill>
                    <w14:schemeClr w14:val="tx1"/>
                  </w14:solidFill>
                </w14:textFill>
              </w:rPr>
              <w:t>％，根据学生的作业（小论文或做</w:t>
            </w:r>
            <w:r>
              <w:rPr>
                <w:rFonts w:hint="eastAsia" w:ascii="Times New Roman" w:hAnsi="Times New Roman"/>
                <w:bCs/>
                <w:color w:val="000000" w:themeColor="text1"/>
                <w:sz w:val="21"/>
                <w:szCs w:val="21"/>
                <w14:textFill>
                  <w14:solidFill>
                    <w14:schemeClr w14:val="tx1"/>
                  </w14:solidFill>
                </w14:textFill>
              </w:rPr>
              <w:t>报告</w:t>
            </w:r>
            <w:r>
              <w:rPr>
                <w:rFonts w:ascii="Times New Roman" w:hAnsi="Times New Roman"/>
                <w:bCs/>
                <w:color w:val="000000" w:themeColor="text1"/>
                <w:sz w:val="21"/>
                <w:szCs w:val="21"/>
                <w14:textFill>
                  <w14:solidFill>
                    <w14:schemeClr w14:val="tx1"/>
                  </w14:solidFill>
                </w14:textFill>
              </w:rPr>
              <w:t>等形式）、出勤、参与课堂讨论等方面进行评定。期末考试</w:t>
            </w:r>
            <w:r>
              <w:rPr>
                <w:rFonts w:hint="eastAsia" w:ascii="Times New Roman" w:hAnsi="Times New Roman"/>
                <w:bCs/>
                <w:color w:val="000000" w:themeColor="text1"/>
                <w:sz w:val="21"/>
                <w:szCs w:val="21"/>
                <w14:textFill>
                  <w14:solidFill>
                    <w14:schemeClr w14:val="tx1"/>
                  </w14:solidFill>
                </w14:textFill>
              </w:rPr>
              <w:t>成</w:t>
            </w:r>
            <w:r>
              <w:rPr>
                <w:rFonts w:ascii="Times New Roman" w:hAnsi="Times New Roman"/>
                <w:bCs/>
                <w:color w:val="000000" w:themeColor="text1"/>
                <w:sz w:val="21"/>
                <w:szCs w:val="21"/>
                <w14:textFill>
                  <w14:solidFill>
                    <w14:schemeClr w14:val="tx1"/>
                  </w14:solidFill>
                </w14:textFill>
              </w:rPr>
              <w:t>绩占总分的60％</w:t>
            </w:r>
            <w:r>
              <w:rPr>
                <w:rFonts w:hint="eastAsia" w:ascii="Times New Roman" w:hAnsi="Times New Roman"/>
                <w:bCs/>
                <w:color w:val="000000" w:themeColor="text1"/>
                <w:sz w:val="21"/>
                <w:szCs w:val="21"/>
                <w14:textFill>
                  <w14:solidFill>
                    <w14:schemeClr w14:val="tx1"/>
                  </w14:solidFill>
                </w14:textFill>
              </w:rPr>
              <w:t>，</w:t>
            </w:r>
            <w:r>
              <w:rPr>
                <w:rFonts w:ascii="Times New Roman" w:hAnsi="Times New Roman"/>
                <w:bCs/>
                <w:color w:val="000000" w:themeColor="text1"/>
                <w:sz w:val="21"/>
                <w:szCs w:val="21"/>
                <w14:textFill>
                  <w14:solidFill>
                    <w14:schemeClr w14:val="tx1"/>
                  </w14:solidFill>
                </w14:textFill>
              </w:rPr>
              <w:t>题型有名词解释</w:t>
            </w:r>
            <w:r>
              <w:rPr>
                <w:rFonts w:hint="eastAsia" w:ascii="Times New Roman" w:hAnsi="Times New Roman"/>
                <w:bCs/>
                <w:color w:val="000000" w:themeColor="text1"/>
                <w:sz w:val="21"/>
                <w:szCs w:val="21"/>
                <w14:textFill>
                  <w14:solidFill>
                    <w14:schemeClr w14:val="tx1"/>
                  </w14:solidFill>
                </w14:textFill>
              </w:rPr>
              <w:t>、</w:t>
            </w:r>
            <w:r>
              <w:rPr>
                <w:rFonts w:ascii="Times New Roman" w:hAnsi="Times New Roman"/>
                <w:bCs/>
                <w:color w:val="000000" w:themeColor="text1"/>
                <w:sz w:val="21"/>
                <w:szCs w:val="21"/>
                <w14:textFill>
                  <w14:solidFill>
                    <w14:schemeClr w14:val="tx1"/>
                  </w14:solidFill>
                </w14:textFill>
              </w:rPr>
              <w:t>简答和论述</w:t>
            </w:r>
            <w:r>
              <w:rPr>
                <w:rFonts w:hint="eastAsia" w:ascii="Times New Roman" w:hAnsi="Times New Roman"/>
                <w:bCs/>
                <w:color w:val="000000" w:themeColor="text1"/>
                <w:sz w:val="21"/>
                <w:szCs w:val="21"/>
                <w14:textFill>
                  <w14:solidFill>
                    <w14:schemeClr w14:val="tx1"/>
                  </w14:solidFill>
                </w14:textFill>
              </w:rPr>
              <w:t>。</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*教材或参考资料(Textbooks &amp; Other Materials)</w:t>
            </w:r>
          </w:p>
        </w:tc>
        <w:tc>
          <w:tcPr>
            <w:tcW w:w="7711" w:type="dxa"/>
            <w:gridSpan w:val="7"/>
            <w:vAlign w:val="center"/>
          </w:tcPr>
          <w:p>
            <w:pPr>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（必含信息：</w:t>
            </w:r>
            <w:r>
              <w:rPr>
                <w:color w:val="000000" w:themeColor="text1"/>
                <w:sz w:val="21"/>
                <w:szCs w:val="21"/>
                <w14:textFill>
                  <w14:solidFill>
                    <w14:schemeClr w14:val="tx1"/>
                  </w14:solidFill>
                </w14:textFill>
              </w:rPr>
              <w:t>教材名称，作者，出版社，出版年份，版次，书号</w:t>
            </w:r>
            <w:r>
              <w:rPr>
                <w:rFonts w:hint="eastAsia"/>
                <w:color w:val="000000" w:themeColor="text1"/>
                <w:sz w:val="21"/>
                <w:szCs w:val="21"/>
                <w14:textFill>
                  <w14:solidFill>
                    <w14:schemeClr w14:val="tx1"/>
                  </w14:solidFill>
                </w14:textFill>
              </w:rPr>
              <w:t>）</w:t>
            </w:r>
          </w:p>
          <w:p>
            <w:pPr>
              <w:spacing w:line="440" w:lineRule="exact"/>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课程教材：</w:t>
            </w:r>
          </w:p>
          <w:p>
            <w:pPr>
              <w:spacing w:line="440" w:lineRule="exact"/>
              <w:ind w:firstLine="420" w:firstLineChars="200"/>
              <w:rPr>
                <w:color w:val="000000" w:themeColor="text1"/>
                <w:sz w:val="21"/>
                <w:szCs w:val="21"/>
                <w14:textFill>
                  <w14:solidFill>
                    <w14:schemeClr w14:val="tx1"/>
                  </w14:solidFill>
                </w14:textFill>
              </w:rPr>
            </w:pPr>
            <w:bookmarkStart w:id="6" w:name="OLE_LINK4"/>
            <w:r>
              <w:rPr>
                <w:rFonts w:hint="eastAsia" w:ascii="宋体" w:hAnsi="宋体"/>
                <w:color w:val="000000" w:themeColor="text1"/>
                <w:sz w:val="21"/>
                <w:szCs w:val="21"/>
                <w14:textFill>
                  <w14:solidFill>
                    <w14:schemeClr w14:val="tx1"/>
                  </w14:solidFill>
                </w14:textFill>
              </w:rPr>
              <w:t>《马克思哲学经典著作节选》，教师自编。</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其它（More）</w:t>
            </w:r>
          </w:p>
        </w:tc>
        <w:tc>
          <w:tcPr>
            <w:tcW w:w="7711" w:type="dxa"/>
            <w:gridSpan w:val="7"/>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213"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备注（Notes）</w:t>
            </w:r>
          </w:p>
        </w:tc>
        <w:tc>
          <w:tcPr>
            <w:tcW w:w="7711" w:type="dxa"/>
            <w:gridSpan w:val="7"/>
            <w:vAlign w:val="center"/>
          </w:tcPr>
          <w:p>
            <w:pPr>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无</w:t>
            </w: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lang w:val="en-US" w:eastAsia="zh-CN"/>
      </w:rPr>
      <w:t>9</w:t>
    </w:r>
    <w:r>
      <w:rPr>
        <w:rFonts w:hint="eastAsia"/>
      </w:rPr>
      <w:t>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06DE2"/>
    <w:rsid w:val="00016D09"/>
    <w:rsid w:val="00046DFD"/>
    <w:rsid w:val="0006061D"/>
    <w:rsid w:val="00065C8F"/>
    <w:rsid w:val="00075896"/>
    <w:rsid w:val="000A3107"/>
    <w:rsid w:val="000A548F"/>
    <w:rsid w:val="000B36DA"/>
    <w:rsid w:val="000B4F6B"/>
    <w:rsid w:val="000B5B61"/>
    <w:rsid w:val="000C4BA4"/>
    <w:rsid w:val="00113507"/>
    <w:rsid w:val="00120618"/>
    <w:rsid w:val="00124F58"/>
    <w:rsid w:val="00133ABB"/>
    <w:rsid w:val="00135619"/>
    <w:rsid w:val="00145841"/>
    <w:rsid w:val="001473BE"/>
    <w:rsid w:val="00152B75"/>
    <w:rsid w:val="00153410"/>
    <w:rsid w:val="001552DE"/>
    <w:rsid w:val="00160181"/>
    <w:rsid w:val="00177B13"/>
    <w:rsid w:val="00181BE7"/>
    <w:rsid w:val="00194E3C"/>
    <w:rsid w:val="001A4FE4"/>
    <w:rsid w:val="001A637A"/>
    <w:rsid w:val="001C723D"/>
    <w:rsid w:val="001C7AD8"/>
    <w:rsid w:val="001D0BF5"/>
    <w:rsid w:val="001E73FD"/>
    <w:rsid w:val="00207DEF"/>
    <w:rsid w:val="00227A34"/>
    <w:rsid w:val="002428BC"/>
    <w:rsid w:val="0024661D"/>
    <w:rsid w:val="0026026C"/>
    <w:rsid w:val="0026569D"/>
    <w:rsid w:val="0027360E"/>
    <w:rsid w:val="0028182B"/>
    <w:rsid w:val="0028463A"/>
    <w:rsid w:val="002A157D"/>
    <w:rsid w:val="002A6549"/>
    <w:rsid w:val="002A7980"/>
    <w:rsid w:val="002B6537"/>
    <w:rsid w:val="002D4CDC"/>
    <w:rsid w:val="003036D4"/>
    <w:rsid w:val="00307FA0"/>
    <w:rsid w:val="003237D3"/>
    <w:rsid w:val="00341CDD"/>
    <w:rsid w:val="00366702"/>
    <w:rsid w:val="003715C0"/>
    <w:rsid w:val="00377008"/>
    <w:rsid w:val="0039029D"/>
    <w:rsid w:val="003948E3"/>
    <w:rsid w:val="00395246"/>
    <w:rsid w:val="0039570D"/>
    <w:rsid w:val="003A1DF0"/>
    <w:rsid w:val="003C4422"/>
    <w:rsid w:val="003D10F5"/>
    <w:rsid w:val="003D1C86"/>
    <w:rsid w:val="003D2213"/>
    <w:rsid w:val="003E65CC"/>
    <w:rsid w:val="003F1247"/>
    <w:rsid w:val="0040072E"/>
    <w:rsid w:val="00435414"/>
    <w:rsid w:val="004373A9"/>
    <w:rsid w:val="00446816"/>
    <w:rsid w:val="00457799"/>
    <w:rsid w:val="00461685"/>
    <w:rsid w:val="004657FA"/>
    <w:rsid w:val="00466D57"/>
    <w:rsid w:val="00470110"/>
    <w:rsid w:val="00474457"/>
    <w:rsid w:val="00487AD7"/>
    <w:rsid w:val="004921CE"/>
    <w:rsid w:val="004D4153"/>
    <w:rsid w:val="004D4785"/>
    <w:rsid w:val="004D62C4"/>
    <w:rsid w:val="004E283B"/>
    <w:rsid w:val="005031D5"/>
    <w:rsid w:val="00511D50"/>
    <w:rsid w:val="00520B0A"/>
    <w:rsid w:val="0054584D"/>
    <w:rsid w:val="00557AD3"/>
    <w:rsid w:val="00565461"/>
    <w:rsid w:val="00577467"/>
    <w:rsid w:val="00577ECF"/>
    <w:rsid w:val="00597798"/>
    <w:rsid w:val="005B52BE"/>
    <w:rsid w:val="005F0F8E"/>
    <w:rsid w:val="005F49AB"/>
    <w:rsid w:val="0061590F"/>
    <w:rsid w:val="006244CF"/>
    <w:rsid w:val="00625DD3"/>
    <w:rsid w:val="00647F8A"/>
    <w:rsid w:val="00653E2D"/>
    <w:rsid w:val="00656964"/>
    <w:rsid w:val="006632E4"/>
    <w:rsid w:val="00663B60"/>
    <w:rsid w:val="00686943"/>
    <w:rsid w:val="006A13AE"/>
    <w:rsid w:val="006C1706"/>
    <w:rsid w:val="006C5E67"/>
    <w:rsid w:val="006D2DA6"/>
    <w:rsid w:val="006D3645"/>
    <w:rsid w:val="006D6B14"/>
    <w:rsid w:val="006F1849"/>
    <w:rsid w:val="006F49C1"/>
    <w:rsid w:val="00705456"/>
    <w:rsid w:val="00707583"/>
    <w:rsid w:val="007252D6"/>
    <w:rsid w:val="0073132F"/>
    <w:rsid w:val="0074097C"/>
    <w:rsid w:val="0074127F"/>
    <w:rsid w:val="00766E68"/>
    <w:rsid w:val="00784A11"/>
    <w:rsid w:val="00786679"/>
    <w:rsid w:val="00795F2D"/>
    <w:rsid w:val="007A19E1"/>
    <w:rsid w:val="007B376D"/>
    <w:rsid w:val="007C29AD"/>
    <w:rsid w:val="007D4099"/>
    <w:rsid w:val="007E4B77"/>
    <w:rsid w:val="007F2A81"/>
    <w:rsid w:val="00801BAB"/>
    <w:rsid w:val="008158EA"/>
    <w:rsid w:val="00823ACC"/>
    <w:rsid w:val="0082596B"/>
    <w:rsid w:val="00825C1B"/>
    <w:rsid w:val="00843654"/>
    <w:rsid w:val="00857453"/>
    <w:rsid w:val="0087105D"/>
    <w:rsid w:val="00880DED"/>
    <w:rsid w:val="00890F38"/>
    <w:rsid w:val="008954B7"/>
    <w:rsid w:val="008A7203"/>
    <w:rsid w:val="008C6E46"/>
    <w:rsid w:val="008F7100"/>
    <w:rsid w:val="008F7DAE"/>
    <w:rsid w:val="00901F86"/>
    <w:rsid w:val="00904EBA"/>
    <w:rsid w:val="0090604F"/>
    <w:rsid w:val="00907933"/>
    <w:rsid w:val="009202E6"/>
    <w:rsid w:val="0092232B"/>
    <w:rsid w:val="00922A8E"/>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D1D33"/>
    <w:rsid w:val="009E3009"/>
    <w:rsid w:val="009E620D"/>
    <w:rsid w:val="009E73FA"/>
    <w:rsid w:val="00A029F1"/>
    <w:rsid w:val="00A16565"/>
    <w:rsid w:val="00A3078F"/>
    <w:rsid w:val="00A37564"/>
    <w:rsid w:val="00A515EB"/>
    <w:rsid w:val="00A54CA9"/>
    <w:rsid w:val="00A61B1F"/>
    <w:rsid w:val="00A73A11"/>
    <w:rsid w:val="00A960D0"/>
    <w:rsid w:val="00AC1B9C"/>
    <w:rsid w:val="00AC5156"/>
    <w:rsid w:val="00AD0114"/>
    <w:rsid w:val="00AD3765"/>
    <w:rsid w:val="00AD7DBD"/>
    <w:rsid w:val="00AD7E02"/>
    <w:rsid w:val="00AE01F4"/>
    <w:rsid w:val="00AE606A"/>
    <w:rsid w:val="00AE6C69"/>
    <w:rsid w:val="00B05FFC"/>
    <w:rsid w:val="00B10595"/>
    <w:rsid w:val="00B20254"/>
    <w:rsid w:val="00B32899"/>
    <w:rsid w:val="00B328AD"/>
    <w:rsid w:val="00B41900"/>
    <w:rsid w:val="00B74383"/>
    <w:rsid w:val="00B970D8"/>
    <w:rsid w:val="00BB54A5"/>
    <w:rsid w:val="00BE022B"/>
    <w:rsid w:val="00C02F6C"/>
    <w:rsid w:val="00C040DE"/>
    <w:rsid w:val="00C17BC0"/>
    <w:rsid w:val="00C2626F"/>
    <w:rsid w:val="00C46B87"/>
    <w:rsid w:val="00C73038"/>
    <w:rsid w:val="00C85828"/>
    <w:rsid w:val="00C94905"/>
    <w:rsid w:val="00C95DBE"/>
    <w:rsid w:val="00CB685A"/>
    <w:rsid w:val="00CC6F9A"/>
    <w:rsid w:val="00CF32A8"/>
    <w:rsid w:val="00CF7312"/>
    <w:rsid w:val="00D01657"/>
    <w:rsid w:val="00D130CC"/>
    <w:rsid w:val="00D1758F"/>
    <w:rsid w:val="00D23BC7"/>
    <w:rsid w:val="00D276DE"/>
    <w:rsid w:val="00D41A07"/>
    <w:rsid w:val="00D43323"/>
    <w:rsid w:val="00D47A4D"/>
    <w:rsid w:val="00D644B5"/>
    <w:rsid w:val="00D73A3C"/>
    <w:rsid w:val="00D85250"/>
    <w:rsid w:val="00D858FF"/>
    <w:rsid w:val="00DA7688"/>
    <w:rsid w:val="00DB5794"/>
    <w:rsid w:val="00DC3DAC"/>
    <w:rsid w:val="00DC7BDC"/>
    <w:rsid w:val="00DF671F"/>
    <w:rsid w:val="00E025AD"/>
    <w:rsid w:val="00E06426"/>
    <w:rsid w:val="00E30BA9"/>
    <w:rsid w:val="00E43921"/>
    <w:rsid w:val="00E44B69"/>
    <w:rsid w:val="00E4566A"/>
    <w:rsid w:val="00E54B0F"/>
    <w:rsid w:val="00E5505D"/>
    <w:rsid w:val="00E60D3B"/>
    <w:rsid w:val="00E85F6E"/>
    <w:rsid w:val="00E8660F"/>
    <w:rsid w:val="00E90402"/>
    <w:rsid w:val="00E948D5"/>
    <w:rsid w:val="00E953DB"/>
    <w:rsid w:val="00EA259D"/>
    <w:rsid w:val="00EB20C0"/>
    <w:rsid w:val="00EC1070"/>
    <w:rsid w:val="00ED2940"/>
    <w:rsid w:val="00ED30B5"/>
    <w:rsid w:val="00F262EB"/>
    <w:rsid w:val="00F45175"/>
    <w:rsid w:val="00F46C0A"/>
    <w:rsid w:val="00F54329"/>
    <w:rsid w:val="00F67475"/>
    <w:rsid w:val="00F746B7"/>
    <w:rsid w:val="00F975BE"/>
    <w:rsid w:val="00FC1AA0"/>
    <w:rsid w:val="00FC687D"/>
    <w:rsid w:val="00FE20EB"/>
    <w:rsid w:val="00FE3349"/>
    <w:rsid w:val="00FE4D40"/>
    <w:rsid w:val="00FF22DC"/>
    <w:rsid w:val="05FB6129"/>
    <w:rsid w:val="2BD23F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uiPriority w:val="99"/>
    <w:rPr>
      <w:sz w:val="18"/>
      <w:szCs w:val="18"/>
    </w:rPr>
  </w:style>
  <w:style w:type="paragraph" w:styleId="3">
    <w:name w:val="footer"/>
    <w:basedOn w:val="1"/>
    <w:link w:val="16"/>
    <w:unhideWhenUsed/>
    <w:uiPriority w:val="99"/>
    <w:pPr>
      <w:tabs>
        <w:tab w:val="center" w:pos="4153"/>
        <w:tab w:val="right" w:pos="8306"/>
      </w:tabs>
      <w:snapToGrid w:val="0"/>
      <w:jc w:val="left"/>
    </w:pPr>
    <w:rPr>
      <w:sz w:val="18"/>
      <w:szCs w:val="18"/>
    </w:rPr>
  </w:style>
  <w:style w:type="paragraph" w:styleId="4">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FollowedHyperlink"/>
    <w:basedOn w:val="6"/>
    <w:semiHidden/>
    <w:unhideWhenUsed/>
    <w:uiPriority w:val="99"/>
    <w:rPr>
      <w:color w:val="800080" w:themeColor="followedHyperlink"/>
      <w:u w:val="single"/>
      <w14:textFill>
        <w14:solidFill>
          <w14:schemeClr w14:val="folHlink"/>
        </w14:solidFill>
      </w14:textFill>
    </w:rPr>
  </w:style>
  <w:style w:type="character" w:styleId="9">
    <w:name w:val="Hyperlink"/>
    <w:basedOn w:val="6"/>
    <w:unhideWhenUsed/>
    <w:uiPriority w:val="99"/>
    <w:rPr>
      <w:color w:val="0000FF"/>
      <w:u w:val="none"/>
    </w:rPr>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2">
    <w:name w:val="List Paragraph"/>
    <w:basedOn w:val="1"/>
    <w:qFormat/>
    <w:uiPriority w:val="34"/>
    <w:pPr>
      <w:ind w:firstLine="420" w:firstLineChars="200"/>
    </w:pPr>
  </w:style>
  <w:style w:type="paragraph" w:customStyle="1" w:styleId="13">
    <w:name w:val="样式2"/>
    <w:basedOn w:val="1"/>
    <w:uiPriority w:val="0"/>
    <w:rPr>
      <w:rFonts w:ascii="宋体" w:hAnsi="宋体" w:eastAsia="宋体" w:cs="Symeteo"/>
      <w:bCs/>
      <w:color w:val="FF0000"/>
      <w:sz w:val="24"/>
      <w:szCs w:val="24"/>
    </w:rPr>
  </w:style>
  <w:style w:type="character" w:customStyle="1" w:styleId="14">
    <w:name w:val="批注框文本 字符"/>
    <w:basedOn w:val="6"/>
    <w:link w:val="2"/>
    <w:semiHidden/>
    <w:uiPriority w:val="99"/>
    <w:rPr>
      <w:sz w:val="18"/>
      <w:szCs w:val="18"/>
    </w:rPr>
  </w:style>
  <w:style w:type="character" w:customStyle="1" w:styleId="15">
    <w:name w:val="页眉 字符"/>
    <w:basedOn w:val="6"/>
    <w:link w:val="4"/>
    <w:uiPriority w:val="99"/>
    <w:rPr>
      <w:sz w:val="18"/>
      <w:szCs w:val="18"/>
    </w:rPr>
  </w:style>
  <w:style w:type="character" w:customStyle="1" w:styleId="16">
    <w:name w:val="页脚 字符"/>
    <w:basedOn w:val="6"/>
    <w:link w:val="3"/>
    <w:uiPriority w:val="99"/>
    <w:rPr>
      <w:sz w:val="18"/>
      <w:szCs w:val="18"/>
    </w:rPr>
  </w:style>
  <w:style w:type="character" w:customStyle="1" w:styleId="17">
    <w:name w:val="apple-converted-space"/>
    <w:basedOn w:val="6"/>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461</Words>
  <Characters>2633</Characters>
  <Lines>21</Lines>
  <Paragraphs>6</Paragraphs>
  <TotalTime>0</TotalTime>
  <ScaleCrop>false</ScaleCrop>
  <LinksUpToDate>false</LinksUpToDate>
  <CharactersWithSpaces>3088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2018-11-12T09:20:00Z</dcterms:created>
  <dc:creator>xiqiang yang</dc:creator>
  <cp:lastModifiedBy>QY</cp:lastModifiedBy>
  <cp:lastPrinted>2014-04-28T01:34:00Z</cp:lastPrinted>
  <dcterms:modified xsi:type="dcterms:W3CDTF">2018-12-04T02:36:55Z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