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p>
    <w:p>
      <w:pPr>
        <w:spacing w:after="156" w:afterLines="50"/>
        <w:jc w:val="center"/>
        <w:rPr>
          <w:b/>
          <w:sz w:val="32"/>
          <w:szCs w:val="32"/>
        </w:rPr>
      </w:pPr>
      <w:bookmarkStart w:id="0" w:name="_GoBack"/>
      <w:r>
        <w:rPr>
          <w:rFonts w:hint="eastAsia"/>
          <w:b/>
          <w:bCs/>
          <w:sz w:val="32"/>
          <w:szCs w:val="36"/>
        </w:rPr>
        <w:t>交响音乐鉴赏</w:t>
      </w:r>
      <w:bookmarkEnd w:id="0"/>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color w:val="auto"/>
              </w:rPr>
            </w:pPr>
            <w:r>
              <w:rPr>
                <w:rFonts w:hint="eastAsia"/>
                <w:color w:val="auto"/>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color w:val="auto"/>
              </w:rPr>
            </w:pPr>
            <w:r>
              <w:rPr>
                <w:rFonts w:hint="eastAsia"/>
                <w:color w:val="auto"/>
              </w:rPr>
              <w:t>课程代码</w:t>
            </w:r>
          </w:p>
          <w:p>
            <w:pPr>
              <w:jc w:val="center"/>
              <w:rPr>
                <w:color w:val="auto"/>
              </w:rPr>
            </w:pPr>
            <w:r>
              <w:rPr>
                <w:color w:val="auto"/>
              </w:rPr>
              <w:t>（</w:t>
            </w:r>
            <w:r>
              <w:rPr>
                <w:rFonts w:hint="eastAsia"/>
                <w:color w:val="auto"/>
              </w:rPr>
              <w:t>Course Code）</w:t>
            </w:r>
          </w:p>
        </w:tc>
        <w:tc>
          <w:tcPr>
            <w:tcW w:w="1265" w:type="dxa"/>
            <w:vAlign w:val="center"/>
          </w:tcPr>
          <w:p>
            <w:pPr>
              <w:rPr>
                <w:color w:val="auto"/>
                <w:w w:val="90"/>
              </w:rPr>
            </w:pPr>
            <w:r>
              <w:rPr>
                <w:color w:val="auto"/>
                <w:w w:val="90"/>
              </w:rPr>
              <w:t>MU901</w:t>
            </w:r>
          </w:p>
        </w:tc>
        <w:tc>
          <w:tcPr>
            <w:tcW w:w="1515" w:type="dxa"/>
            <w:vAlign w:val="center"/>
          </w:tcPr>
          <w:p>
            <w:pPr>
              <w:jc w:val="center"/>
              <w:rPr>
                <w:color w:val="auto"/>
              </w:rPr>
            </w:pPr>
            <w:r>
              <w:rPr>
                <w:rFonts w:hint="eastAsia"/>
                <w:color w:val="auto"/>
              </w:rPr>
              <w:t>*</w:t>
            </w:r>
            <w:r>
              <w:rPr>
                <w:color w:val="auto"/>
              </w:rPr>
              <w:t>学时</w:t>
            </w:r>
          </w:p>
          <w:p>
            <w:pPr>
              <w:jc w:val="center"/>
              <w:rPr>
                <w:color w:val="auto"/>
                <w:w w:val="90"/>
              </w:rPr>
            </w:pPr>
            <w:r>
              <w:rPr>
                <w:color w:val="auto"/>
                <w:w w:val="90"/>
              </w:rPr>
              <w:t>（Credit</w:t>
            </w:r>
            <w:r>
              <w:rPr>
                <w:rFonts w:hint="eastAsia"/>
                <w:color w:val="auto"/>
                <w:w w:val="90"/>
              </w:rPr>
              <w:t xml:space="preserve"> Hours</w:t>
            </w:r>
            <w:r>
              <w:rPr>
                <w:color w:val="auto"/>
                <w:w w:val="90"/>
              </w:rPr>
              <w:t>）</w:t>
            </w:r>
          </w:p>
        </w:tc>
        <w:tc>
          <w:tcPr>
            <w:tcW w:w="1477" w:type="dxa"/>
            <w:vAlign w:val="center"/>
          </w:tcPr>
          <w:p>
            <w:pPr>
              <w:jc w:val="center"/>
              <w:rPr>
                <w:rFonts w:hint="eastAsia"/>
                <w:color w:val="auto"/>
              </w:rPr>
            </w:pPr>
            <w:r>
              <w:rPr>
                <w:rFonts w:hint="eastAsia"/>
                <w:color w:val="auto"/>
              </w:rPr>
              <w:t>32</w:t>
            </w:r>
          </w:p>
        </w:tc>
        <w:tc>
          <w:tcPr>
            <w:tcW w:w="1559" w:type="dxa"/>
            <w:gridSpan w:val="2"/>
            <w:vAlign w:val="center"/>
          </w:tcPr>
          <w:p>
            <w:pPr>
              <w:jc w:val="center"/>
              <w:rPr>
                <w:color w:val="auto"/>
              </w:rPr>
            </w:pPr>
            <w:r>
              <w:rPr>
                <w:rFonts w:hint="eastAsia"/>
                <w:color w:val="auto"/>
              </w:rPr>
              <w:t>*</w:t>
            </w:r>
            <w:r>
              <w:rPr>
                <w:color w:val="auto"/>
              </w:rPr>
              <w:t>学分</w:t>
            </w:r>
          </w:p>
          <w:p>
            <w:pPr>
              <w:jc w:val="center"/>
              <w:rPr>
                <w:color w:val="auto"/>
              </w:rPr>
            </w:pPr>
            <w:r>
              <w:rPr>
                <w:color w:val="auto"/>
              </w:rPr>
              <w:t>（Credits）</w:t>
            </w:r>
          </w:p>
        </w:tc>
        <w:tc>
          <w:tcPr>
            <w:tcW w:w="1702" w:type="dxa"/>
            <w:gridSpan w:val="2"/>
            <w:vAlign w:val="center"/>
          </w:tcPr>
          <w:p>
            <w:pPr>
              <w:jc w:val="center"/>
              <w:rPr>
                <w:rFonts w:hint="eastAsia"/>
                <w:color w:val="auto"/>
              </w:rPr>
            </w:pPr>
            <w:r>
              <w:rPr>
                <w:rFonts w:hint="eastAsia"/>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color w:val="auto"/>
              </w:rPr>
            </w:pPr>
            <w:r>
              <w:rPr>
                <w:rFonts w:hint="eastAsia"/>
                <w:color w:val="auto"/>
              </w:rPr>
              <w:t>*</w:t>
            </w:r>
            <w:r>
              <w:rPr>
                <w:color w:val="auto"/>
              </w:rPr>
              <w:t>课程名称</w:t>
            </w:r>
          </w:p>
          <w:p>
            <w:pPr>
              <w:jc w:val="center"/>
              <w:rPr>
                <w:color w:val="auto"/>
              </w:rPr>
            </w:pPr>
            <w:r>
              <w:rPr>
                <w:color w:val="auto"/>
              </w:rPr>
              <w:t>（</w:t>
            </w:r>
            <w:r>
              <w:rPr>
                <w:rFonts w:hint="eastAsia"/>
                <w:color w:val="auto"/>
              </w:rPr>
              <w:t>Course Name）</w:t>
            </w:r>
          </w:p>
        </w:tc>
        <w:tc>
          <w:tcPr>
            <w:tcW w:w="7518" w:type="dxa"/>
            <w:gridSpan w:val="7"/>
            <w:vAlign w:val="center"/>
          </w:tcPr>
          <w:p>
            <w:pPr>
              <w:rPr>
                <w:color w:val="auto"/>
              </w:rPr>
            </w:pPr>
            <w:r>
              <w:rPr>
                <w:rFonts w:hint="eastAsia"/>
                <w:color w:val="auto"/>
              </w:rPr>
              <w:t>（中文）《交响音乐鉴赏》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color w:val="auto"/>
              </w:rPr>
            </w:pPr>
          </w:p>
        </w:tc>
        <w:tc>
          <w:tcPr>
            <w:tcW w:w="7518" w:type="dxa"/>
            <w:gridSpan w:val="7"/>
            <w:vAlign w:val="center"/>
          </w:tcPr>
          <w:p>
            <w:pPr>
              <w:rPr>
                <w:color w:val="auto"/>
              </w:rPr>
            </w:pPr>
            <w:r>
              <w:rPr>
                <w:rFonts w:hint="eastAsia"/>
                <w:color w:val="auto"/>
              </w:rPr>
              <w:t>（英文）</w:t>
            </w:r>
            <w:r>
              <w:rPr>
                <w:color w:val="auto"/>
              </w:rPr>
              <w:t>Appreciation of Symphonic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color w:val="auto"/>
              </w:rPr>
            </w:pPr>
            <w:r>
              <w:rPr>
                <w:rFonts w:hint="eastAsia"/>
                <w:color w:val="auto"/>
              </w:rPr>
              <w:t>课程性质</w:t>
            </w:r>
          </w:p>
          <w:p>
            <w:pPr>
              <w:jc w:val="center"/>
              <w:rPr>
                <w:color w:val="auto"/>
              </w:rPr>
            </w:pPr>
            <w:r>
              <w:rPr>
                <w:rFonts w:hint="eastAsia"/>
                <w:color w:val="auto"/>
              </w:rPr>
              <w:t>(Course Type)</w:t>
            </w:r>
          </w:p>
        </w:tc>
        <w:tc>
          <w:tcPr>
            <w:tcW w:w="7518" w:type="dxa"/>
            <w:gridSpan w:val="7"/>
            <w:vAlign w:val="center"/>
          </w:tcPr>
          <w:p>
            <w:pPr>
              <w:jc w:val="center"/>
              <w:rPr>
                <w:rFonts w:hint="eastAsia"/>
                <w:color w:val="auto"/>
              </w:rPr>
            </w:pPr>
            <w:r>
              <w:rPr>
                <w:rFonts w:hint="eastAsia"/>
                <w:color w:val="auto"/>
              </w:rPr>
              <w:t>本科通识课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auto"/>
              </w:rPr>
            </w:pPr>
            <w:r>
              <w:rPr>
                <w:rFonts w:hint="eastAsia"/>
                <w:color w:val="auto"/>
              </w:rPr>
              <w:t>授课对象</w:t>
            </w:r>
          </w:p>
          <w:p>
            <w:pPr>
              <w:jc w:val="center"/>
              <w:rPr>
                <w:color w:val="auto"/>
              </w:rPr>
            </w:pPr>
            <w:r>
              <w:rPr>
                <w:rFonts w:hint="eastAsia"/>
                <w:color w:val="auto"/>
              </w:rPr>
              <w:t>（Target Audience）</w:t>
            </w:r>
          </w:p>
        </w:tc>
        <w:tc>
          <w:tcPr>
            <w:tcW w:w="7518" w:type="dxa"/>
            <w:gridSpan w:val="7"/>
            <w:vAlign w:val="center"/>
          </w:tcPr>
          <w:p>
            <w:pPr>
              <w:jc w:val="center"/>
              <w:rPr>
                <w:rFonts w:hint="eastAsia"/>
                <w:color w:val="auto"/>
              </w:rPr>
            </w:pPr>
            <w:r>
              <w:rPr>
                <w:rFonts w:hint="eastAsia"/>
                <w:color w:val="auto"/>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auto"/>
              </w:rPr>
            </w:pPr>
            <w:r>
              <w:rPr>
                <w:rFonts w:hint="eastAsia"/>
                <w:color w:val="auto"/>
              </w:rPr>
              <w:t>授课语言</w:t>
            </w:r>
          </w:p>
          <w:p>
            <w:pPr>
              <w:jc w:val="left"/>
              <w:rPr>
                <w:color w:val="auto"/>
              </w:rPr>
            </w:pPr>
            <w:r>
              <w:rPr>
                <w:rFonts w:hint="eastAsia"/>
                <w:color w:val="auto"/>
              </w:rPr>
              <w:t>(Language of Instruction)</w:t>
            </w:r>
          </w:p>
        </w:tc>
        <w:tc>
          <w:tcPr>
            <w:tcW w:w="7518" w:type="dxa"/>
            <w:gridSpan w:val="7"/>
            <w:vAlign w:val="center"/>
          </w:tcPr>
          <w:p>
            <w:pPr>
              <w:jc w:val="center"/>
              <w:rPr>
                <w:rFonts w:hint="eastAsia"/>
                <w:color w:val="auto"/>
              </w:rPr>
            </w:pPr>
            <w:r>
              <w:rPr>
                <w:rFonts w:hint="eastAsia"/>
                <w:color w:val="auto"/>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auto"/>
              </w:rPr>
            </w:pPr>
            <w:r>
              <w:rPr>
                <w:rFonts w:hint="eastAsia"/>
                <w:color w:val="auto"/>
              </w:rPr>
              <w:t>*开课院系</w:t>
            </w:r>
          </w:p>
          <w:p>
            <w:pPr>
              <w:jc w:val="center"/>
              <w:rPr>
                <w:color w:val="auto"/>
              </w:rPr>
            </w:pPr>
            <w:r>
              <w:rPr>
                <w:rFonts w:hint="eastAsia"/>
                <w:color w:val="auto"/>
              </w:rPr>
              <w:t>（School）</w:t>
            </w:r>
          </w:p>
        </w:tc>
        <w:tc>
          <w:tcPr>
            <w:tcW w:w="7518" w:type="dxa"/>
            <w:gridSpan w:val="7"/>
            <w:vAlign w:val="center"/>
          </w:tcPr>
          <w:p>
            <w:pPr>
              <w:jc w:val="center"/>
              <w:rPr>
                <w:rFonts w:hint="eastAsia"/>
                <w:color w:val="auto"/>
              </w:rPr>
            </w:pPr>
            <w:r>
              <w:rPr>
                <w:rFonts w:hint="eastAsia"/>
                <w:color w:val="auto"/>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auto"/>
              </w:rPr>
            </w:pPr>
            <w:r>
              <w:rPr>
                <w:rFonts w:hint="eastAsia"/>
                <w:color w:val="auto"/>
              </w:rPr>
              <w:t>先修课程</w:t>
            </w:r>
          </w:p>
          <w:p>
            <w:pPr>
              <w:jc w:val="center"/>
              <w:rPr>
                <w:color w:val="auto"/>
              </w:rPr>
            </w:pPr>
            <w:r>
              <w:rPr>
                <w:rFonts w:hint="eastAsia"/>
                <w:color w:val="auto"/>
              </w:rPr>
              <w:t>（Prerequisite）</w:t>
            </w:r>
          </w:p>
        </w:tc>
        <w:tc>
          <w:tcPr>
            <w:tcW w:w="7518" w:type="dxa"/>
            <w:gridSpan w:val="7"/>
            <w:vAlign w:val="center"/>
          </w:tcPr>
          <w:p>
            <w:pPr>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color w:val="auto"/>
              </w:rPr>
            </w:pPr>
            <w:r>
              <w:rPr>
                <w:rFonts w:hint="eastAsia"/>
                <w:color w:val="auto"/>
              </w:rPr>
              <w:t>授课教师</w:t>
            </w:r>
          </w:p>
          <w:p>
            <w:pPr>
              <w:jc w:val="center"/>
              <w:rPr>
                <w:color w:val="auto"/>
              </w:rPr>
            </w:pPr>
            <w:r>
              <w:rPr>
                <w:rFonts w:hint="eastAsia"/>
                <w:color w:val="auto"/>
              </w:rPr>
              <w:t>（Instructor）</w:t>
            </w:r>
          </w:p>
        </w:tc>
        <w:tc>
          <w:tcPr>
            <w:tcW w:w="2780" w:type="dxa"/>
            <w:gridSpan w:val="2"/>
            <w:vAlign w:val="center"/>
          </w:tcPr>
          <w:p>
            <w:pPr>
              <w:jc w:val="center"/>
              <w:rPr>
                <w:rFonts w:hint="eastAsia"/>
                <w:color w:val="auto"/>
              </w:rPr>
            </w:pPr>
            <w:r>
              <w:rPr>
                <w:rFonts w:hint="eastAsia"/>
                <w:color w:val="auto"/>
              </w:rPr>
              <w:t>杜鹃</w:t>
            </w:r>
          </w:p>
        </w:tc>
        <w:tc>
          <w:tcPr>
            <w:tcW w:w="2095" w:type="dxa"/>
            <w:gridSpan w:val="2"/>
            <w:vAlign w:val="center"/>
          </w:tcPr>
          <w:p>
            <w:pPr>
              <w:jc w:val="center"/>
              <w:rPr>
                <w:color w:val="auto"/>
              </w:rPr>
            </w:pPr>
            <w:r>
              <w:rPr>
                <w:rFonts w:hint="eastAsia"/>
                <w:color w:val="auto"/>
              </w:rPr>
              <w:t>课程网址</w:t>
            </w:r>
          </w:p>
          <w:p>
            <w:pPr>
              <w:jc w:val="center"/>
              <w:rPr>
                <w:color w:val="auto"/>
              </w:rPr>
            </w:pPr>
            <w:r>
              <w:rPr>
                <w:rFonts w:hint="eastAsia"/>
                <w:color w:val="auto"/>
              </w:rPr>
              <w:t>(</w:t>
            </w:r>
            <w:r>
              <w:rPr>
                <w:color w:val="auto"/>
              </w:rPr>
              <w:t xml:space="preserve">Course </w:t>
            </w:r>
            <w:r>
              <w:rPr>
                <w:rFonts w:hint="eastAsia"/>
                <w:color w:val="auto"/>
              </w:rPr>
              <w:t>W</w:t>
            </w:r>
            <w:r>
              <w:rPr>
                <w:color w:val="auto"/>
              </w:rPr>
              <w:t>ebpage</w:t>
            </w:r>
            <w:r>
              <w:rPr>
                <w:rFonts w:hint="eastAsia"/>
                <w:color w:val="auto"/>
              </w:rPr>
              <w:t>)</w:t>
            </w:r>
          </w:p>
        </w:tc>
        <w:tc>
          <w:tcPr>
            <w:tcW w:w="2633" w:type="dxa"/>
            <w:gridSpan w:val="2"/>
            <w:vAlign w:val="center"/>
          </w:tcPr>
          <w:p>
            <w:pPr>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color w:val="auto"/>
              </w:rPr>
            </w:pPr>
            <w:r>
              <w:rPr>
                <w:rFonts w:hint="eastAsia"/>
                <w:color w:val="auto"/>
              </w:rPr>
              <w:t>*课程简介</w:t>
            </w:r>
            <w:r>
              <w:rPr>
                <w:rFonts w:hint="eastAsia"/>
                <w:color w:val="auto"/>
                <w:w w:val="90"/>
              </w:rPr>
              <w:t>（Description）</w:t>
            </w:r>
          </w:p>
        </w:tc>
        <w:tc>
          <w:tcPr>
            <w:tcW w:w="7518" w:type="dxa"/>
            <w:gridSpan w:val="7"/>
            <w:vAlign w:val="center"/>
          </w:tcPr>
          <w:p>
            <w:pPr>
              <w:rPr>
                <w:rFonts w:hint="eastAsia"/>
                <w:color w:val="auto"/>
              </w:rPr>
            </w:pPr>
            <w:r>
              <w:rPr>
                <w:rFonts w:hint="eastAsia"/>
                <w:color w:val="auto"/>
              </w:rPr>
              <w:t>（中文300-500字，含课程性质、主要教学内容、课程教学目标等）</w:t>
            </w:r>
          </w:p>
          <w:p>
            <w:pPr>
              <w:rPr>
                <w:color w:val="auto"/>
              </w:rPr>
            </w:pPr>
            <w:r>
              <w:rPr>
                <w:rFonts w:hint="eastAsia"/>
                <w:color w:val="auto"/>
              </w:rPr>
              <w:t>在音乐艺术的众多体裁中，交响曲有着特殊的地位。相对于大多数音乐体裁而言，交响曲更丰富，更宏大，也更深刻。它往往触及时代、社会、人性的深层内涵，因此，对于欣赏者来说也就更难以把握。本课程将带领学生们从认识交响音乐开始，逐渐步入交响音乐的世界。本课程是一门面向全校本科学生的通识课。教学内容将分为两大部分：首先，对何谓交响音乐？以及交响音乐所包含的若干要素（如：结构、织体、乐队等）进行介绍和讲解；其次，以历史为脉络挑选具有时代风格的交响曲代表作为具体案例进行赏析。以此，帮助学生掌握、发展和提炼聆听交响音乐的能力和技巧，同时能够理解不同时代及文化中的交响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color w:val="auto"/>
              </w:rPr>
            </w:pPr>
            <w:r>
              <w:rPr>
                <w:rFonts w:hint="eastAsia"/>
                <w:color w:val="auto"/>
              </w:rPr>
              <w:t>*课程简介</w:t>
            </w:r>
            <w:r>
              <w:rPr>
                <w:rFonts w:hint="eastAsia"/>
                <w:color w:val="auto"/>
                <w:w w:val="90"/>
              </w:rPr>
              <w:t>（Description）</w:t>
            </w:r>
          </w:p>
        </w:tc>
        <w:tc>
          <w:tcPr>
            <w:tcW w:w="7518" w:type="dxa"/>
            <w:gridSpan w:val="7"/>
            <w:tcBorders>
              <w:bottom w:val="single" w:color="auto" w:sz="4" w:space="0"/>
            </w:tcBorders>
            <w:vAlign w:val="center"/>
          </w:tcPr>
          <w:p>
            <w:pPr>
              <w:jc w:val="left"/>
              <w:rPr>
                <w:rFonts w:hint="eastAsia"/>
                <w:color w:val="auto"/>
              </w:rPr>
            </w:pPr>
            <w:r>
              <w:rPr>
                <w:rFonts w:hint="eastAsia"/>
                <w:color w:val="auto"/>
              </w:rPr>
              <w:t>（英文300-500字）</w:t>
            </w:r>
          </w:p>
          <w:p>
            <w:pPr>
              <w:jc w:val="left"/>
              <w:rPr>
                <w:color w:val="auto"/>
              </w:rPr>
            </w:pPr>
            <w:r>
              <w:rPr>
                <w:color w:val="auto"/>
              </w:rPr>
              <w:t>In music world, symphonies have a special status among the other genres. Symphonies are richer, grander and more profound than most other music genres. It often touches on the deep connotation of times, society and human nature. Therefore, it is more difficult for people to grasp it. This course will lead student step into the world of symphony music from the understanding of symphony music.</w:t>
            </w:r>
          </w:p>
          <w:p>
            <w:pPr>
              <w:jc w:val="left"/>
              <w:rPr>
                <w:color w:val="auto"/>
              </w:rPr>
            </w:pPr>
            <w:r>
              <w:rPr>
                <w:color w:val="auto"/>
              </w:rPr>
              <w:t>This course is a general education course for undergraduate students. The teaching content will be divided into two parts. First, What is symphonic music? As well as introduce and explain the elements that symphonic music contains. Secondly, select</w:t>
            </w:r>
            <w:r>
              <w:rPr>
                <w:rFonts w:hint="eastAsia"/>
                <w:color w:val="auto"/>
              </w:rPr>
              <w:t xml:space="preserve"> </w:t>
            </w:r>
            <w:r>
              <w:rPr>
                <w:color w:val="auto"/>
              </w:rPr>
              <w:t xml:space="preserve">  symphonies that with the characteristics of the times and appreciation of these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color w:val="auto"/>
              </w:rPr>
            </w:pPr>
            <w:r>
              <w:rPr>
                <w:rFonts w:hint="eastAsia"/>
                <w:color w:val="auto"/>
              </w:rPr>
              <w:t>课程教学大纲（C</w:t>
            </w:r>
            <w:r>
              <w:rPr>
                <w:color w:val="auto"/>
              </w:rPr>
              <w:t xml:space="preserve">ourse </w:t>
            </w:r>
            <w:r>
              <w:rPr>
                <w:rFonts w:hint="eastAsia"/>
                <w:color w:val="auto"/>
              </w:rPr>
              <w:t>S</w:t>
            </w:r>
            <w:r>
              <w:rPr>
                <w:color w:val="auto"/>
              </w:rPr>
              <w:t>yllabus</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color w:val="auto"/>
              </w:rPr>
            </w:pPr>
            <w:r>
              <w:rPr>
                <w:rFonts w:hint="eastAsia"/>
                <w:color w:val="auto"/>
              </w:rPr>
              <w:t>*学习目标</w:t>
            </w:r>
          </w:p>
          <w:p>
            <w:pPr>
              <w:jc w:val="left"/>
              <w:rPr>
                <w:color w:val="auto"/>
              </w:rPr>
            </w:pPr>
            <w:r>
              <w:rPr>
                <w:rFonts w:hint="eastAsia"/>
                <w:color w:val="auto"/>
              </w:rPr>
              <w:t>(Learning Outcomes)</w:t>
            </w:r>
          </w:p>
        </w:tc>
        <w:tc>
          <w:tcPr>
            <w:tcW w:w="7518" w:type="dxa"/>
            <w:gridSpan w:val="7"/>
            <w:vAlign w:val="center"/>
          </w:tcPr>
          <w:p>
            <w:pPr>
              <w:rPr>
                <w:color w:val="auto"/>
              </w:rPr>
            </w:pPr>
            <w:r>
              <w:rPr>
                <w:rFonts w:hint="eastAsia"/>
                <w:color w:val="auto"/>
              </w:rPr>
              <w:t>1．了解交响音乐的基本概念：什么是交响音乐？</w:t>
            </w:r>
          </w:p>
          <w:p>
            <w:pPr>
              <w:rPr>
                <w:color w:val="auto"/>
              </w:rPr>
            </w:pPr>
            <w:r>
              <w:rPr>
                <w:rFonts w:hint="eastAsia"/>
                <w:color w:val="auto"/>
              </w:rPr>
              <w:t>2．了解交响音乐的基本构成要素：如基本结构、乐队组成等</w:t>
            </w:r>
          </w:p>
          <w:p>
            <w:pPr>
              <w:rPr>
                <w:color w:val="auto"/>
              </w:rPr>
            </w:pPr>
            <w:r>
              <w:rPr>
                <w:rFonts w:hint="eastAsia"/>
                <w:color w:val="auto"/>
              </w:rPr>
              <w:t>3．认识不同风格的交响音乐：从古典主义时期到20世纪</w:t>
            </w:r>
          </w:p>
          <w:p>
            <w:pPr>
              <w:rPr>
                <w:rFonts w:hint="eastAsia"/>
                <w:color w:val="auto"/>
              </w:rPr>
            </w:pPr>
            <w:r>
              <w:rPr>
                <w:rFonts w:hint="eastAsia"/>
                <w:color w:val="auto"/>
              </w:rPr>
              <w:t>4．领会不同风格交响曲形成的深层原因及意义：时代、社会、人性……</w:t>
            </w:r>
          </w:p>
          <w:p>
            <w:pPr>
              <w:rPr>
                <w:rFonts w:hint="eastAsia"/>
                <w:color w:val="auto"/>
              </w:rPr>
            </w:pPr>
            <w:r>
              <w:rPr>
                <w:rFonts w:hint="eastAsia"/>
                <w:color w:val="auto"/>
              </w:rPr>
              <w:t>5</w:t>
            </w:r>
            <w:r>
              <w:rPr>
                <w:color w:val="auto"/>
              </w:rPr>
              <w:t>.</w:t>
            </w:r>
            <w:r>
              <w:rPr>
                <w:rFonts w:hint="eastAsia"/>
                <w:color w:val="auto"/>
              </w:rPr>
              <w:t xml:space="preserve">  掌握独立欣赏交响音乐的能力：判断时代、风格并能从中体会交响音乐的魅力</w:t>
            </w:r>
          </w:p>
          <w:p>
            <w:pPr>
              <w:rPr>
                <w:color w:val="auto"/>
              </w:rPr>
            </w:pPr>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color w:val="auto"/>
              </w:rPr>
            </w:pPr>
            <w:r>
              <w:rPr>
                <w:rFonts w:hint="eastAsia"/>
                <w:color w:val="auto"/>
              </w:rPr>
              <w:t>*教学内容</w:t>
            </w:r>
          </w:p>
          <w:p>
            <w:pPr>
              <w:spacing w:line="460" w:lineRule="exact"/>
              <w:jc w:val="center"/>
              <w:rPr>
                <w:color w:val="auto"/>
              </w:rPr>
            </w:pPr>
            <w:r>
              <w:rPr>
                <w:rFonts w:hint="eastAsia"/>
                <w:color w:val="auto"/>
              </w:rPr>
              <w:t>进度安排及要求</w:t>
            </w:r>
          </w:p>
          <w:p>
            <w:pPr>
              <w:spacing w:line="460" w:lineRule="exact"/>
              <w:jc w:val="center"/>
              <w:rPr>
                <w:color w:val="auto"/>
              </w:rPr>
            </w:pPr>
            <w:r>
              <w:rPr>
                <w:rFonts w:hint="eastAsia"/>
                <w:color w:val="auto"/>
              </w:rPr>
              <w:t>(</w:t>
            </w:r>
            <w:r>
              <w:rPr>
                <w:color w:val="auto"/>
              </w:rPr>
              <w:t>Class Schedule</w:t>
            </w:r>
            <w:r>
              <w:rPr>
                <w:rFonts w:hint="eastAsia"/>
                <w:color w:val="auto"/>
              </w:rPr>
              <w:t xml:space="preserve"> &amp; </w:t>
            </w:r>
            <w:r>
              <w:rPr>
                <w:color w:val="auto"/>
              </w:rPr>
              <w:t>Requirements</w:t>
            </w:r>
            <w:r>
              <w:rPr>
                <w:rFonts w:hint="eastAsia"/>
                <w:color w:val="auto"/>
              </w:rPr>
              <w:t>)</w:t>
            </w:r>
          </w:p>
        </w:tc>
        <w:tc>
          <w:tcPr>
            <w:tcW w:w="7518" w:type="dxa"/>
            <w:gridSpan w:val="7"/>
            <w:vAlign w:val="center"/>
          </w:tcPr>
          <w:tbl>
            <w:tblPr>
              <w:tblStyle w:val="9"/>
              <w:tblW w:w="7505"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jc w:val="center"/>
                    <w:rPr>
                      <w:color w:val="auto"/>
                    </w:rPr>
                  </w:pPr>
                  <w:r>
                    <w:rPr>
                      <w:rFonts w:hint="eastAsia"/>
                      <w:color w:val="auto"/>
                    </w:rPr>
                    <w:t>教学内容</w:t>
                  </w:r>
                </w:p>
              </w:tc>
              <w:tc>
                <w:tcPr>
                  <w:tcW w:w="816" w:type="dxa"/>
                </w:tcPr>
                <w:p>
                  <w:pPr>
                    <w:jc w:val="center"/>
                    <w:rPr>
                      <w:color w:val="auto"/>
                    </w:rPr>
                  </w:pPr>
                  <w:r>
                    <w:rPr>
                      <w:rFonts w:hint="eastAsia"/>
                      <w:color w:val="auto"/>
                    </w:rPr>
                    <w:t>学时</w:t>
                  </w:r>
                </w:p>
              </w:tc>
              <w:tc>
                <w:tcPr>
                  <w:tcW w:w="1334" w:type="dxa"/>
                </w:tcPr>
                <w:p>
                  <w:pPr>
                    <w:jc w:val="center"/>
                    <w:rPr>
                      <w:color w:val="auto"/>
                    </w:rPr>
                  </w:pPr>
                  <w:r>
                    <w:rPr>
                      <w:rFonts w:hint="eastAsia"/>
                      <w:color w:val="auto"/>
                    </w:rPr>
                    <w:t>教学方式</w:t>
                  </w:r>
                </w:p>
              </w:tc>
              <w:tc>
                <w:tcPr>
                  <w:tcW w:w="1355" w:type="dxa"/>
                </w:tcPr>
                <w:p>
                  <w:pPr>
                    <w:jc w:val="center"/>
                    <w:rPr>
                      <w:color w:val="auto"/>
                    </w:rPr>
                  </w:pPr>
                  <w:r>
                    <w:rPr>
                      <w:rFonts w:hint="eastAsia"/>
                      <w:color w:val="auto"/>
                    </w:rPr>
                    <w:t>作业及要求</w:t>
                  </w:r>
                </w:p>
              </w:tc>
              <w:tc>
                <w:tcPr>
                  <w:tcW w:w="1146" w:type="dxa"/>
                </w:tcPr>
                <w:p>
                  <w:pPr>
                    <w:rPr>
                      <w:color w:val="auto"/>
                    </w:rPr>
                  </w:pPr>
                  <w:r>
                    <w:rPr>
                      <w:rFonts w:hint="eastAsia"/>
                      <w:color w:val="auto"/>
                    </w:rPr>
                    <w:t>基本要求</w:t>
                  </w:r>
                </w:p>
              </w:tc>
              <w:tc>
                <w:tcPr>
                  <w:tcW w:w="1162" w:type="dxa"/>
                </w:tcPr>
                <w:p>
                  <w:pPr>
                    <w:jc w:val="center"/>
                    <w:rPr>
                      <w:color w:val="auto"/>
                    </w:rPr>
                  </w:pPr>
                  <w:r>
                    <w:rPr>
                      <w:rFonts w:hint="eastAsia"/>
                      <w:color w:val="auto"/>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692" w:type="dxa"/>
                  <w:vAlign w:val="center"/>
                </w:tcPr>
                <w:p>
                  <w:pPr>
                    <w:jc w:val="center"/>
                    <w:rPr>
                      <w:rFonts w:hint="eastAsia"/>
                      <w:color w:val="auto"/>
                    </w:rPr>
                  </w:pPr>
                  <w:r>
                    <w:rPr>
                      <w:rFonts w:hint="eastAsia"/>
                      <w:color w:val="auto"/>
                    </w:rPr>
                    <w:t>音乐世界的王冠——何谓“交响音乐”</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rFonts w:hint="eastAsia"/>
                      <w:color w:val="auto"/>
                    </w:rPr>
                  </w:pPr>
                  <w:r>
                    <w:rPr>
                      <w:rFonts w:hint="eastAsia"/>
                      <w:color w:val="auto"/>
                    </w:rPr>
                    <w:t>搜集并聆听2部交响曲</w:t>
                  </w:r>
                </w:p>
              </w:tc>
              <w:tc>
                <w:tcPr>
                  <w:tcW w:w="1146" w:type="dxa"/>
                  <w:vAlign w:val="center"/>
                </w:tcPr>
                <w:p>
                  <w:pPr>
                    <w:jc w:val="center"/>
                    <w:rPr>
                      <w:rFonts w:hint="eastAsia"/>
                      <w:color w:val="auto"/>
                    </w:rPr>
                  </w:pPr>
                  <w:r>
                    <w:rPr>
                      <w:rFonts w:hint="eastAsia"/>
                      <w:color w:val="auto"/>
                    </w:rPr>
                    <w:t>了解何谓交响音乐</w:t>
                  </w:r>
                </w:p>
              </w:tc>
              <w:tc>
                <w:tcPr>
                  <w:tcW w:w="1162" w:type="dxa"/>
                  <w:vAlign w:val="center"/>
                </w:tcPr>
                <w:p>
                  <w:pPr>
                    <w:jc w:val="center"/>
                    <w:rPr>
                      <w:rFonts w:hint="eastAsia"/>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692" w:type="dxa"/>
                  <w:vAlign w:val="center"/>
                </w:tcPr>
                <w:p>
                  <w:pPr>
                    <w:jc w:val="center"/>
                    <w:rPr>
                      <w:rFonts w:hint="eastAsia"/>
                      <w:color w:val="auto"/>
                    </w:rPr>
                  </w:pPr>
                  <w:r>
                    <w:rPr>
                      <w:rFonts w:hint="eastAsia"/>
                      <w:color w:val="auto"/>
                    </w:rPr>
                    <w:t>交响音乐的基石——关于交响音乐的结构</w:t>
                  </w:r>
                </w:p>
              </w:tc>
              <w:tc>
                <w:tcPr>
                  <w:tcW w:w="816" w:type="dxa"/>
                  <w:vAlign w:val="center"/>
                </w:tcPr>
                <w:p>
                  <w:pPr>
                    <w:jc w:val="center"/>
                    <w:rPr>
                      <w:rFonts w:hint="eastAsia"/>
                      <w:color w:val="auto"/>
                    </w:rPr>
                  </w:pPr>
                  <w:r>
                    <w:rPr>
                      <w:rFonts w:hint="eastAsia"/>
                      <w:color w:val="auto"/>
                    </w:rPr>
                    <w:t>4</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rFonts w:hint="eastAsia"/>
                      <w:color w:val="auto"/>
                    </w:rPr>
                  </w:pPr>
                  <w:r>
                    <w:rPr>
                      <w:rFonts w:hint="eastAsia"/>
                      <w:color w:val="auto"/>
                    </w:rPr>
                    <w:t>分别聆听交响曲的不同乐章</w:t>
                  </w:r>
                </w:p>
              </w:tc>
              <w:tc>
                <w:tcPr>
                  <w:tcW w:w="1146" w:type="dxa"/>
                  <w:vAlign w:val="center"/>
                </w:tcPr>
                <w:p>
                  <w:pPr>
                    <w:jc w:val="center"/>
                    <w:rPr>
                      <w:rFonts w:hint="eastAsia"/>
                      <w:color w:val="auto"/>
                    </w:rPr>
                  </w:pPr>
                  <w:r>
                    <w:rPr>
                      <w:rFonts w:hint="eastAsia"/>
                      <w:color w:val="auto"/>
                    </w:rPr>
                    <w:t>明确交响音乐不同乐章之间的差异</w:t>
                  </w:r>
                </w:p>
              </w:tc>
              <w:tc>
                <w:tcPr>
                  <w:tcW w:w="1162" w:type="dxa"/>
                  <w:vAlign w:val="center"/>
                </w:tcPr>
                <w:p>
                  <w:pPr>
                    <w:jc w:val="center"/>
                    <w:rPr>
                      <w:rFonts w:hint="eastAsia"/>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92" w:type="dxa"/>
                  <w:vAlign w:val="center"/>
                </w:tcPr>
                <w:p>
                  <w:pPr>
                    <w:jc w:val="center"/>
                    <w:rPr>
                      <w:rFonts w:hint="eastAsia"/>
                      <w:color w:val="auto"/>
                    </w:rPr>
                  </w:pPr>
                  <w:r>
                    <w:rPr>
                      <w:rFonts w:hint="eastAsia"/>
                      <w:color w:val="auto"/>
                    </w:rPr>
                    <w:t>交响音乐的要素——关于交响音乐的乐队、织体等</w:t>
                  </w:r>
                </w:p>
              </w:tc>
              <w:tc>
                <w:tcPr>
                  <w:tcW w:w="816" w:type="dxa"/>
                  <w:vAlign w:val="center"/>
                </w:tcPr>
                <w:p>
                  <w:pPr>
                    <w:jc w:val="center"/>
                    <w:rPr>
                      <w:rFonts w:hint="eastAsia"/>
                      <w:color w:val="auto"/>
                    </w:rPr>
                  </w:pPr>
                  <w:r>
                    <w:rPr>
                      <w:rFonts w:hint="eastAsia"/>
                      <w:color w:val="auto"/>
                    </w:rPr>
                    <w:t>4</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rFonts w:hint="eastAsia"/>
                      <w:color w:val="auto"/>
                    </w:rPr>
                  </w:pPr>
                  <w:r>
                    <w:rPr>
                      <w:rFonts w:hint="eastAsia"/>
                      <w:color w:val="auto"/>
                    </w:rPr>
                    <w:t>聆听指定交响曲并说出乐队编制等问题</w:t>
                  </w:r>
                </w:p>
              </w:tc>
              <w:tc>
                <w:tcPr>
                  <w:tcW w:w="1146" w:type="dxa"/>
                  <w:vAlign w:val="center"/>
                </w:tcPr>
                <w:p>
                  <w:pPr>
                    <w:jc w:val="center"/>
                    <w:rPr>
                      <w:rFonts w:hint="eastAsia"/>
                      <w:color w:val="auto"/>
                    </w:rPr>
                  </w:pPr>
                  <w:r>
                    <w:rPr>
                      <w:rFonts w:hint="eastAsia"/>
                      <w:color w:val="auto"/>
                    </w:rPr>
                    <w:t>能够从一部交响曲中听出相关信息</w:t>
                  </w:r>
                </w:p>
              </w:tc>
              <w:tc>
                <w:tcPr>
                  <w:tcW w:w="1162" w:type="dxa"/>
                  <w:vAlign w:val="center"/>
                </w:tcPr>
                <w:p>
                  <w:pPr>
                    <w:jc w:val="center"/>
                    <w:rPr>
                      <w:rFonts w:hint="eastAsia"/>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692" w:type="dxa"/>
                  <w:vAlign w:val="center"/>
                </w:tcPr>
                <w:p>
                  <w:pPr>
                    <w:jc w:val="center"/>
                    <w:rPr>
                      <w:rFonts w:hint="eastAsia"/>
                      <w:color w:val="auto"/>
                    </w:rPr>
                  </w:pPr>
                  <w:r>
                    <w:rPr>
                      <w:rFonts w:hint="eastAsia"/>
                      <w:color w:val="auto"/>
                    </w:rPr>
                    <w:t>交响曲之父的微笑——海顿及其交响曲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rFonts w:hint="eastAsia"/>
                      <w:color w:val="auto"/>
                    </w:rPr>
                  </w:pPr>
                  <w:r>
                    <w:rPr>
                      <w:rFonts w:hint="eastAsia"/>
                      <w:color w:val="auto"/>
                    </w:rPr>
                    <w:t>聆听指定交响音乐</w:t>
                  </w:r>
                </w:p>
              </w:tc>
              <w:tc>
                <w:tcPr>
                  <w:tcW w:w="1146" w:type="dxa"/>
                  <w:vAlign w:val="center"/>
                </w:tcPr>
                <w:p>
                  <w:pPr>
                    <w:jc w:val="center"/>
                    <w:rPr>
                      <w:rFonts w:hint="eastAsia"/>
                      <w:color w:val="auto"/>
                    </w:rPr>
                  </w:pPr>
                  <w:r>
                    <w:rPr>
                      <w:rFonts w:hint="eastAsia"/>
                      <w:color w:val="auto"/>
                    </w:rPr>
                    <w:t>能够判断海顿交响曲的风格特征</w:t>
                  </w:r>
                </w:p>
              </w:tc>
              <w:tc>
                <w:tcPr>
                  <w:tcW w:w="1162" w:type="dxa"/>
                  <w:vAlign w:val="center"/>
                </w:tcPr>
                <w:p>
                  <w:pPr>
                    <w:jc w:val="center"/>
                    <w:rPr>
                      <w:rFonts w:hint="eastAsia"/>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692" w:type="dxa"/>
                  <w:vAlign w:val="center"/>
                </w:tcPr>
                <w:p>
                  <w:pPr>
                    <w:jc w:val="center"/>
                    <w:rPr>
                      <w:rFonts w:hint="eastAsia"/>
                      <w:color w:val="auto"/>
                    </w:rPr>
                  </w:pPr>
                  <w:r>
                    <w:rPr>
                      <w:rFonts w:hint="eastAsia"/>
                      <w:color w:val="auto"/>
                    </w:rPr>
                    <w:t>听！乐队在歌唱——莫扎特及其交响曲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rFonts w:hint="eastAsia"/>
                      <w:color w:val="auto"/>
                    </w:rPr>
                  </w:pPr>
                  <w:r>
                    <w:rPr>
                      <w:rFonts w:hint="eastAsia"/>
                      <w:color w:val="auto"/>
                    </w:rPr>
                    <w:t>聆听指定交响曲</w:t>
                  </w:r>
                </w:p>
              </w:tc>
              <w:tc>
                <w:tcPr>
                  <w:tcW w:w="1146" w:type="dxa"/>
                  <w:vAlign w:val="center"/>
                </w:tcPr>
                <w:p>
                  <w:pPr>
                    <w:jc w:val="center"/>
                    <w:rPr>
                      <w:rFonts w:hint="eastAsia"/>
                      <w:color w:val="auto"/>
                    </w:rPr>
                  </w:pPr>
                  <w:r>
                    <w:rPr>
                      <w:rFonts w:hint="eastAsia"/>
                      <w:color w:val="auto"/>
                    </w:rPr>
                    <w:t>能够判断莫扎特的交响曲风格特征</w:t>
                  </w:r>
                </w:p>
              </w:tc>
              <w:tc>
                <w:tcPr>
                  <w:tcW w:w="1162" w:type="dxa"/>
                  <w:vAlign w:val="center"/>
                </w:tcPr>
                <w:p>
                  <w:pPr>
                    <w:jc w:val="center"/>
                    <w:rPr>
                      <w:rFonts w:hint="eastAsia"/>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692" w:type="dxa"/>
                  <w:vAlign w:val="center"/>
                </w:tcPr>
                <w:p>
                  <w:pPr>
                    <w:jc w:val="center"/>
                    <w:rPr>
                      <w:rFonts w:hint="eastAsia"/>
                      <w:color w:val="auto"/>
                    </w:rPr>
                  </w:pPr>
                  <w:r>
                    <w:rPr>
                      <w:rFonts w:hint="eastAsia"/>
                      <w:color w:val="auto"/>
                    </w:rPr>
                    <w:t>超越音符的深省——贝多芬及其交响曲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rFonts w:hint="eastAsia"/>
                      <w:color w:val="auto"/>
                    </w:rPr>
                  </w:pPr>
                  <w:r>
                    <w:rPr>
                      <w:rFonts w:hint="eastAsia"/>
                      <w:color w:val="auto"/>
                    </w:rPr>
                    <w:t>聆听指定交响曲</w:t>
                  </w:r>
                </w:p>
              </w:tc>
              <w:tc>
                <w:tcPr>
                  <w:tcW w:w="1146" w:type="dxa"/>
                  <w:vAlign w:val="center"/>
                </w:tcPr>
                <w:p>
                  <w:pPr>
                    <w:jc w:val="center"/>
                    <w:rPr>
                      <w:rFonts w:hint="eastAsia"/>
                      <w:color w:val="auto"/>
                    </w:rPr>
                  </w:pPr>
                  <w:r>
                    <w:rPr>
                      <w:rFonts w:hint="eastAsia"/>
                      <w:color w:val="auto"/>
                    </w:rPr>
                    <w:t>能够判断贝多芬的交响曲风格特征</w:t>
                  </w:r>
                </w:p>
              </w:tc>
              <w:tc>
                <w:tcPr>
                  <w:tcW w:w="1162" w:type="dxa"/>
                  <w:vAlign w:val="center"/>
                </w:tcPr>
                <w:p>
                  <w:pPr>
                    <w:jc w:val="center"/>
                    <w:rPr>
                      <w:rFonts w:hint="eastAsia"/>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692" w:type="dxa"/>
                  <w:vAlign w:val="center"/>
                </w:tcPr>
                <w:p>
                  <w:pPr>
                    <w:jc w:val="center"/>
                    <w:rPr>
                      <w:rFonts w:hint="eastAsia"/>
                      <w:color w:val="auto"/>
                    </w:rPr>
                  </w:pPr>
                  <w:r>
                    <w:rPr>
                      <w:rFonts w:hint="eastAsia"/>
                      <w:color w:val="auto"/>
                    </w:rPr>
                    <w:t>心灵痛苦的自白——舒伯特及其交响曲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rFonts w:hint="eastAsia"/>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能够判断舒伯特的交响曲风格特征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692" w:type="dxa"/>
                  <w:vAlign w:val="center"/>
                </w:tcPr>
                <w:p>
                  <w:pPr>
                    <w:jc w:val="center"/>
                    <w:rPr>
                      <w:rFonts w:hint="eastAsia"/>
                      <w:color w:val="auto"/>
                    </w:rPr>
                  </w:pPr>
                  <w:r>
                    <w:rPr>
                      <w:rFonts w:hint="eastAsia"/>
                      <w:color w:val="auto"/>
                    </w:rPr>
                    <w:t>音符写就的自传——柏辽兹及其交响曲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能够判断柏辽兹的交响曲风格特征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692" w:type="dxa"/>
                  <w:vAlign w:val="center"/>
                </w:tcPr>
                <w:p>
                  <w:pPr>
                    <w:jc w:val="center"/>
                    <w:rPr>
                      <w:rFonts w:hint="eastAsia"/>
                      <w:color w:val="auto"/>
                    </w:rPr>
                  </w:pPr>
                  <w:r>
                    <w:rPr>
                      <w:rFonts w:hint="eastAsia"/>
                      <w:color w:val="auto"/>
                    </w:rPr>
                    <w:t>浪漫主义的诗意想象——舒曼及其交响曲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能够判断舒曼的交响曲风格特征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692" w:type="dxa"/>
                  <w:vAlign w:val="center"/>
                </w:tcPr>
                <w:p>
                  <w:pPr>
                    <w:jc w:val="center"/>
                    <w:rPr>
                      <w:rFonts w:hint="eastAsia"/>
                      <w:color w:val="auto"/>
                    </w:rPr>
                  </w:pPr>
                  <w:r>
                    <w:rPr>
                      <w:rFonts w:hint="eastAsia"/>
                      <w:color w:val="auto"/>
                    </w:rPr>
                    <w:t>用音乐描写诗歌——李斯特及其交响诗</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能够判断李斯特的交响曲风格特征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692" w:type="dxa"/>
                  <w:vAlign w:val="center"/>
                </w:tcPr>
                <w:p>
                  <w:pPr>
                    <w:jc w:val="center"/>
                    <w:rPr>
                      <w:rFonts w:hint="eastAsia"/>
                      <w:color w:val="auto"/>
                    </w:rPr>
                  </w:pPr>
                  <w:r>
                    <w:rPr>
                      <w:rFonts w:hint="eastAsia"/>
                      <w:color w:val="auto"/>
                    </w:rPr>
                    <w:t>浪漫主义的古典情怀——勃拉姆斯及其交响曲</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能够判断勃拉姆斯的交响曲风格特征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692" w:type="dxa"/>
                  <w:vAlign w:val="center"/>
                </w:tcPr>
                <w:p>
                  <w:pPr>
                    <w:jc w:val="center"/>
                    <w:rPr>
                      <w:rFonts w:hint="eastAsia"/>
                      <w:color w:val="auto"/>
                    </w:rPr>
                  </w:pPr>
                  <w:r>
                    <w:rPr>
                      <w:rFonts w:hint="eastAsia"/>
                      <w:color w:val="auto"/>
                    </w:rPr>
                    <w:t>民族精神的颂歌——民族主义交响音乐</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能够判断民族主义的交响曲风格特征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692" w:type="dxa"/>
                  <w:vAlign w:val="center"/>
                </w:tcPr>
                <w:p>
                  <w:pPr>
                    <w:jc w:val="center"/>
                    <w:rPr>
                      <w:rFonts w:hint="eastAsia"/>
                      <w:color w:val="auto"/>
                    </w:rPr>
                  </w:pPr>
                  <w:r>
                    <w:rPr>
                      <w:rFonts w:hint="eastAsia"/>
                      <w:color w:val="auto"/>
                    </w:rPr>
                    <w:t>危机重重的世纪之交——20世纪之交的交响音乐</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能够判断世纪之交的交响曲风格特征</w:t>
                  </w:r>
                </w:p>
              </w:tc>
              <w:tc>
                <w:tcPr>
                  <w:tcW w:w="1162" w:type="dxa"/>
                  <w:vAlign w:val="center"/>
                </w:tcPr>
                <w:p>
                  <w:pPr>
                    <w:jc w:val="center"/>
                    <w:rPr>
                      <w:color w:val="auto"/>
                    </w:rPr>
                  </w:pPr>
                  <w:r>
                    <w:rPr>
                      <w:rFonts w:hint="eastAsia"/>
                      <w:color w:val="auto"/>
                    </w:rPr>
                    <w:t>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692" w:type="dxa"/>
                  <w:vAlign w:val="center"/>
                </w:tcPr>
                <w:p>
                  <w:pPr>
                    <w:jc w:val="center"/>
                    <w:rPr>
                      <w:rFonts w:hint="eastAsia"/>
                      <w:color w:val="auto"/>
                    </w:rPr>
                  </w:pPr>
                  <w:r>
                    <w:rPr>
                      <w:rFonts w:hint="eastAsia"/>
                      <w:color w:val="auto"/>
                    </w:rPr>
                    <w:t>聆听新的声音——20世纪交响音乐</w:t>
                  </w:r>
                </w:p>
              </w:tc>
              <w:tc>
                <w:tcPr>
                  <w:tcW w:w="816" w:type="dxa"/>
                  <w:vAlign w:val="center"/>
                </w:tcPr>
                <w:p>
                  <w:pPr>
                    <w:jc w:val="center"/>
                    <w:rPr>
                      <w:rFonts w:hint="eastAsia"/>
                      <w:color w:val="auto"/>
                    </w:rPr>
                  </w:pPr>
                  <w:r>
                    <w:rPr>
                      <w:rFonts w:hint="eastAsia"/>
                      <w:color w:val="auto"/>
                    </w:rPr>
                    <w:t>2</w:t>
                  </w:r>
                </w:p>
              </w:tc>
              <w:tc>
                <w:tcPr>
                  <w:tcW w:w="1334" w:type="dxa"/>
                  <w:vAlign w:val="center"/>
                </w:tcPr>
                <w:p>
                  <w:pPr>
                    <w:jc w:val="center"/>
                    <w:rPr>
                      <w:color w:val="auto"/>
                    </w:rPr>
                  </w:pPr>
                  <w:r>
                    <w:rPr>
                      <w:rFonts w:hint="eastAsia"/>
                      <w:color w:val="auto"/>
                    </w:rPr>
                    <w:t>授课</w:t>
                  </w:r>
                </w:p>
              </w:tc>
              <w:tc>
                <w:tcPr>
                  <w:tcW w:w="1355" w:type="dxa"/>
                  <w:vAlign w:val="center"/>
                </w:tcPr>
                <w:p>
                  <w:pPr>
                    <w:jc w:val="center"/>
                    <w:rPr>
                      <w:color w:val="auto"/>
                    </w:rPr>
                  </w:pPr>
                  <w:r>
                    <w:rPr>
                      <w:rFonts w:hint="eastAsia"/>
                      <w:color w:val="auto"/>
                    </w:rPr>
                    <w:t>聆听指定交响曲</w:t>
                  </w:r>
                </w:p>
              </w:tc>
              <w:tc>
                <w:tcPr>
                  <w:tcW w:w="1146" w:type="dxa"/>
                  <w:vAlign w:val="center"/>
                </w:tcPr>
                <w:p>
                  <w:pPr>
                    <w:jc w:val="center"/>
                    <w:rPr>
                      <w:color w:val="auto"/>
                    </w:rPr>
                  </w:pPr>
                  <w:r>
                    <w:rPr>
                      <w:rFonts w:hint="eastAsia"/>
                      <w:color w:val="auto"/>
                    </w:rPr>
                    <w:t>能够判断20世纪的交响曲风格特征</w:t>
                  </w:r>
                </w:p>
              </w:tc>
              <w:tc>
                <w:tcPr>
                  <w:tcW w:w="1162" w:type="dxa"/>
                  <w:vAlign w:val="center"/>
                </w:tcPr>
                <w:p>
                  <w:pPr>
                    <w:jc w:val="center"/>
                    <w:rPr>
                      <w:color w:val="auto"/>
                    </w:rPr>
                  </w:pPr>
                  <w:r>
                    <w:rPr>
                      <w:rFonts w:hint="eastAsia"/>
                      <w:color w:val="auto"/>
                    </w:rPr>
                    <w:t>提问</w:t>
                  </w:r>
                </w:p>
              </w:tc>
            </w:tr>
          </w:tbl>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color w:val="auto"/>
              </w:rPr>
            </w:pPr>
            <w:r>
              <w:rPr>
                <w:rFonts w:hint="eastAsia"/>
                <w:color w:val="auto"/>
              </w:rPr>
              <w:t>*考核方式 (Grading)</w:t>
            </w:r>
          </w:p>
        </w:tc>
        <w:tc>
          <w:tcPr>
            <w:tcW w:w="7518" w:type="dxa"/>
            <w:gridSpan w:val="7"/>
            <w:vAlign w:val="center"/>
          </w:tcPr>
          <w:p>
            <w:pPr>
              <w:jc w:val="left"/>
              <w:rPr>
                <w:color w:val="auto"/>
              </w:rPr>
            </w:pPr>
            <w:r>
              <w:rPr>
                <w:rFonts w:hint="eastAsia"/>
                <w:color w:val="auto"/>
              </w:rPr>
              <w:t>期末成绩70%+课堂提问20%+出勤率10%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color w:val="auto"/>
              </w:rPr>
            </w:pPr>
            <w:r>
              <w:rPr>
                <w:rFonts w:hint="eastAsia"/>
                <w:color w:val="auto"/>
              </w:rPr>
              <w:t>*教材或参考资料(Textbooks &amp; Other Materials)</w:t>
            </w:r>
          </w:p>
        </w:tc>
        <w:tc>
          <w:tcPr>
            <w:tcW w:w="7518" w:type="dxa"/>
            <w:gridSpan w:val="7"/>
            <w:vAlign w:val="center"/>
          </w:tcPr>
          <w:p>
            <w:pPr>
              <w:jc w:val="left"/>
              <w:rPr>
                <w:rFonts w:hint="eastAsia"/>
                <w:color w:val="auto"/>
              </w:rPr>
            </w:pPr>
            <w:r>
              <w:rPr>
                <w:rFonts w:hint="eastAsia"/>
                <w:color w:val="auto"/>
              </w:rPr>
              <w:t>（必含信息：</w:t>
            </w:r>
            <w:r>
              <w:rPr>
                <w:color w:val="auto"/>
              </w:rPr>
              <w:t>教材名称，作者，出版社，出版年份，版次，书号</w:t>
            </w:r>
            <w:r>
              <w:rPr>
                <w:rFonts w:hint="eastAsia"/>
                <w:color w:val="auto"/>
              </w:rPr>
              <w:t>）</w:t>
            </w:r>
          </w:p>
          <w:p>
            <w:pPr>
              <w:jc w:val="left"/>
              <w:rPr>
                <w:rFonts w:ascii="PingFang SC Regular" w:hAnsi="PingFang SC Regular" w:eastAsia="PingFang SC Regular" w:cs="PingFang SC Regular"/>
                <w:color w:val="auto"/>
              </w:rPr>
            </w:pPr>
            <w:r>
              <w:rPr>
                <w:rFonts w:hint="eastAsia"/>
                <w:color w:val="auto"/>
              </w:rPr>
              <w:t>《交响乐世界》，薛金炎，吉林音像出版社，1998年3</w:t>
            </w:r>
            <w:r>
              <w:rPr>
                <w:rFonts w:hint="eastAsia" w:ascii="PingFang TC Regular" w:hAnsi="PingFang TC Regular" w:eastAsia="PingFang TC Regular" w:cs="PingFang TC Regular"/>
                <w:color w:val="auto"/>
              </w:rPr>
              <w:t>月第一版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auto"/>
              </w:rPr>
            </w:pPr>
            <w:r>
              <w:rPr>
                <w:rFonts w:hint="eastAsia"/>
                <w:color w:val="auto"/>
              </w:rPr>
              <w:t>其它（More）</w:t>
            </w:r>
          </w:p>
        </w:tc>
        <w:tc>
          <w:tcPr>
            <w:tcW w:w="7518" w:type="dxa"/>
            <w:gridSpan w:val="7"/>
            <w:vAlign w:val="center"/>
          </w:tcPr>
          <w:p>
            <w:pPr>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auto"/>
              </w:rPr>
            </w:pPr>
            <w:r>
              <w:rPr>
                <w:rFonts w:hint="eastAsia"/>
                <w:color w:val="auto"/>
              </w:rPr>
              <w:t>备注（Notes）</w:t>
            </w:r>
          </w:p>
        </w:tc>
        <w:tc>
          <w:tcPr>
            <w:tcW w:w="7518" w:type="dxa"/>
            <w:gridSpan w:val="7"/>
            <w:vAlign w:val="center"/>
          </w:tcPr>
          <w:p>
            <w:pPr>
              <w:jc w:val="center"/>
              <w:rPr>
                <w:color w:val="auto"/>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PingFang SC Regular">
    <w:altName w:val="Microsoft YaHei UI Light"/>
    <w:panose1 w:val="020B0400000000000000"/>
    <w:charset w:val="50"/>
    <w:family w:val="auto"/>
    <w:pitch w:val="default"/>
    <w:sig w:usb0="00000000" w:usb1="00000000" w:usb2="00000017" w:usb3="00000000" w:csb0="00040001" w:csb1="00000000"/>
  </w:font>
  <w:font w:name="PingFang TC Regular">
    <w:altName w:val="Eras Light ITC"/>
    <w:panose1 w:val="020B0400000000000000"/>
    <w:charset w:val="51"/>
    <w:family w:val="auto"/>
    <w:pitch w:val="default"/>
    <w:sig w:usb0="00000000" w:usb1="00000000" w:usb2="00000017" w:usb3="00000000" w:csb0="00100001" w:csb1="00000000"/>
  </w:font>
  <w:font w:name="Eras Light ITC">
    <w:panose1 w:val="020B0402030504020804"/>
    <w:charset w:val="00"/>
    <w:family w:val="auto"/>
    <w:pitch w:val="default"/>
    <w:sig w:usb0="00000003" w:usb1="00000000" w:usb2="00000000" w:usb3="00000000" w:csb0="20000001" w:csb1="00000000"/>
  </w:font>
  <w:font w:name="Eras Light ITC">
    <w:panose1 w:val="020B0402030504020804"/>
    <w:charset w:val="51"/>
    <w:family w:val="auto"/>
    <w:pitch w:val="default"/>
    <w:sig w:usb0="00000003" w:usb1="00000000" w:usb2="00000000" w:usb3="00000000" w:csb0="20000001" w:csb1="00000000"/>
  </w:font>
  <w:font w:name="Microsoft YaHei UI Light">
    <w:panose1 w:val="020B0502040204020203"/>
    <w:charset w:val="86"/>
    <w:family w:val="auto"/>
    <w:pitch w:val="default"/>
    <w:sig w:usb0="80000287" w:usb1="2ACF0010" w:usb2="00000016" w:usb3="00000000" w:csb0="0004001F" w:csb1="00000000"/>
  </w:font>
  <w:font w:name="Microsoft YaHei UI Light">
    <w:panose1 w:val="020B0502040204020203"/>
    <w:charset w:val="50"/>
    <w:family w:val="auto"/>
    <w:pitch w:val="default"/>
    <w:sig w:usb0="80000287" w:usb1="2ACF0010" w:usb2="00000016" w:usb3="00000000" w:csb0="0004001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73C81"/>
    <w:rsid w:val="000A3107"/>
    <w:rsid w:val="000A548F"/>
    <w:rsid w:val="000B4F6B"/>
    <w:rsid w:val="000B5B61"/>
    <w:rsid w:val="000C4BA4"/>
    <w:rsid w:val="000D1EF5"/>
    <w:rsid w:val="00113507"/>
    <w:rsid w:val="001233D3"/>
    <w:rsid w:val="00124F58"/>
    <w:rsid w:val="001320DD"/>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65A5C"/>
    <w:rsid w:val="0027360E"/>
    <w:rsid w:val="0028182B"/>
    <w:rsid w:val="0028463A"/>
    <w:rsid w:val="002A157D"/>
    <w:rsid w:val="002A6549"/>
    <w:rsid w:val="002A7980"/>
    <w:rsid w:val="002B6537"/>
    <w:rsid w:val="002D4CDC"/>
    <w:rsid w:val="003036D4"/>
    <w:rsid w:val="0030419A"/>
    <w:rsid w:val="003237D3"/>
    <w:rsid w:val="00330B16"/>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97120"/>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3625"/>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4856"/>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66481"/>
    <w:rsid w:val="00E85F6E"/>
    <w:rsid w:val="00E90402"/>
    <w:rsid w:val="00E953DB"/>
    <w:rsid w:val="00EA259D"/>
    <w:rsid w:val="00EA5454"/>
    <w:rsid w:val="00EB20C0"/>
    <w:rsid w:val="00EC1070"/>
    <w:rsid w:val="00ED2940"/>
    <w:rsid w:val="00ED30B5"/>
    <w:rsid w:val="00F262EB"/>
    <w:rsid w:val="00F46C0A"/>
    <w:rsid w:val="00F67475"/>
    <w:rsid w:val="00F746B7"/>
    <w:rsid w:val="00FC1AA0"/>
    <w:rsid w:val="00FC5F44"/>
    <w:rsid w:val="00FC687D"/>
    <w:rsid w:val="00FE20EB"/>
    <w:rsid w:val="00FE3349"/>
    <w:rsid w:val="00FE4D40"/>
    <w:rsid w:val="00FF22DC"/>
    <w:rsid w:val="1D7B6EC1"/>
    <w:rsid w:val="256F07F9"/>
    <w:rsid w:val="326556B6"/>
    <w:rsid w:val="364479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字符"/>
    <w:basedOn w:val="5"/>
    <w:link w:val="2"/>
    <w:semiHidden/>
    <w:qFormat/>
    <w:uiPriority w:val="99"/>
    <w:rPr>
      <w:sz w:val="18"/>
      <w:szCs w:val="18"/>
    </w:rPr>
  </w:style>
  <w:style w:type="character" w:customStyle="1" w:styleId="13">
    <w:name w:val="页眉字符"/>
    <w:basedOn w:val="5"/>
    <w:link w:val="4"/>
    <w:qFormat/>
    <w:uiPriority w:val="99"/>
    <w:rPr>
      <w:sz w:val="18"/>
      <w:szCs w:val="18"/>
    </w:rPr>
  </w:style>
  <w:style w:type="character" w:customStyle="1" w:styleId="14">
    <w:name w:val="页脚字符"/>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440</Words>
  <Characters>2508</Characters>
  <Lines>20</Lines>
  <Paragraphs>5</Paragraphs>
  <TotalTime>0</TotalTime>
  <ScaleCrop>false</ScaleCrop>
  <LinksUpToDate>false</LinksUpToDate>
  <CharactersWithSpaces>2943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2018-12-04T06:57:08Z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