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left"/>
        <w:rPr>
          <w:rFonts w:asciiTheme="minorEastAsia" w:hAnsiTheme="minorEastAsia"/>
          <w:szCs w:val="21"/>
        </w:rPr>
      </w:pPr>
      <w:r>
        <w:rPr>
          <w:rFonts w:hint="eastAsia" w:asciiTheme="minorEastAsia" w:hAnsiTheme="minorEastAsia"/>
          <w:szCs w:val="21"/>
        </w:rPr>
        <w:t>附表2</w:t>
      </w:r>
    </w:p>
    <w:p>
      <w:pPr>
        <w:spacing w:afterLines="50"/>
        <w:jc w:val="center"/>
        <w:rPr>
          <w:b/>
          <w:sz w:val="32"/>
          <w:szCs w:val="32"/>
        </w:rPr>
      </w:pPr>
      <w:r>
        <w:rPr>
          <w:b/>
          <w:sz w:val="32"/>
          <w:szCs w:val="32"/>
        </w:rPr>
        <w:t>《</w:t>
      </w:r>
      <w:r>
        <w:rPr>
          <w:rFonts w:hint="eastAsia"/>
          <w:b/>
          <w:sz w:val="32"/>
          <w:szCs w:val="32"/>
        </w:rPr>
        <w:t>欧洲文化导论</w:t>
      </w:r>
      <w:r>
        <w:rPr>
          <w:b/>
          <w:sz w:val="32"/>
          <w:szCs w:val="32"/>
        </w:rPr>
        <w:t>》课程教学大纲</w:t>
      </w:r>
    </w:p>
    <w:p>
      <w:pPr>
        <w:ind w:firstLine="1050" w:firstLineChars="500"/>
      </w:pPr>
    </w:p>
    <w:tbl>
      <w:tblPr>
        <w:tblStyle w:val="11"/>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265"/>
        <w:gridCol w:w="1498"/>
        <w:gridCol w:w="968"/>
        <w:gridCol w:w="618"/>
        <w:gridCol w:w="1657"/>
        <w:gridCol w:w="2139"/>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769"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w w:val="90"/>
              </w:rPr>
              <w:t>CL915</w:t>
            </w:r>
          </w:p>
        </w:tc>
        <w:tc>
          <w:tcPr>
            <w:tcW w:w="1498"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968" w:type="dxa"/>
            <w:vAlign w:val="center"/>
          </w:tcPr>
          <w:p>
            <w:pPr>
              <w:jc w:val="center"/>
            </w:pPr>
            <w:r>
              <w:rPr>
                <w:rFonts w:hint="eastAsia"/>
              </w:rPr>
              <w:t>32</w:t>
            </w:r>
          </w:p>
        </w:tc>
        <w:tc>
          <w:tcPr>
            <w:tcW w:w="2275" w:type="dxa"/>
            <w:gridSpan w:val="2"/>
            <w:vAlign w:val="center"/>
          </w:tcPr>
          <w:p>
            <w:pPr>
              <w:jc w:val="center"/>
            </w:pPr>
            <w:r>
              <w:rPr>
                <w:rFonts w:hint="eastAsia"/>
                <w:color w:val="FF0000"/>
              </w:rPr>
              <w:t>*</w:t>
            </w:r>
            <w:r>
              <w:t>学分</w:t>
            </w:r>
          </w:p>
          <w:p>
            <w:pPr>
              <w:jc w:val="center"/>
            </w:pPr>
            <w:r>
              <w:t>（Credits）</w:t>
            </w:r>
          </w:p>
        </w:tc>
        <w:tc>
          <w:tcPr>
            <w:tcW w:w="2149"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769"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8155" w:type="dxa"/>
            <w:gridSpan w:val="7"/>
            <w:vAlign w:val="center"/>
          </w:tcPr>
          <w:p>
            <w:pPr>
              <w:rPr>
                <w:color w:val="00B050"/>
              </w:rPr>
            </w:pPr>
            <w:r>
              <w:rPr>
                <w:rFonts w:hint="eastAsia"/>
                <w:color w:val="000000" w:themeColor="text1"/>
              </w:rPr>
              <w:t>欧洲文化导论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769" w:type="dxa"/>
            <w:vMerge w:val="continue"/>
          </w:tcPr>
          <w:p>
            <w:pPr>
              <w:jc w:val="left"/>
            </w:pPr>
          </w:p>
        </w:tc>
        <w:tc>
          <w:tcPr>
            <w:tcW w:w="8155" w:type="dxa"/>
            <w:gridSpan w:val="7"/>
            <w:vAlign w:val="center"/>
          </w:tcPr>
          <w:p>
            <w:pPr>
              <w:rPr>
                <w:color w:val="00B050"/>
              </w:rPr>
            </w:pPr>
            <w:r>
              <w:rPr>
                <w:rFonts w:hint="eastAsia"/>
                <w:color w:val="000000" w:themeColor="text1"/>
              </w:rPr>
              <w:t>An Introduction to European 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769" w:type="dxa"/>
            <w:vAlign w:val="center"/>
          </w:tcPr>
          <w:p>
            <w:pPr>
              <w:jc w:val="center"/>
            </w:pPr>
            <w:r>
              <w:rPr>
                <w:rFonts w:hint="eastAsia"/>
              </w:rPr>
              <w:t>课程性质</w:t>
            </w:r>
          </w:p>
          <w:p>
            <w:pPr>
              <w:jc w:val="center"/>
            </w:pPr>
            <w:r>
              <w:rPr>
                <w:rFonts w:hint="eastAsia"/>
              </w:rPr>
              <w:t>(Course Type)</w:t>
            </w:r>
          </w:p>
        </w:tc>
        <w:tc>
          <w:tcPr>
            <w:tcW w:w="8155" w:type="dxa"/>
            <w:gridSpan w:val="7"/>
            <w:vAlign w:val="center"/>
          </w:tcPr>
          <w:p>
            <w:pPr>
              <w:jc w:val="left"/>
              <w:rPr>
                <w:color w:val="00B050"/>
              </w:rPr>
            </w:pPr>
            <w:r>
              <w:rPr>
                <w:rFonts w:hint="eastAsia"/>
              </w:rPr>
              <w:t>通识核心课程 General Core Course</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9" w:type="dxa"/>
            <w:vAlign w:val="center"/>
          </w:tcPr>
          <w:p>
            <w:pPr>
              <w:jc w:val="center"/>
            </w:pPr>
            <w:r>
              <w:rPr>
                <w:rFonts w:hint="eastAsia"/>
              </w:rPr>
              <w:t>授课对象</w:t>
            </w:r>
          </w:p>
          <w:p>
            <w:pPr>
              <w:jc w:val="center"/>
            </w:pPr>
            <w:r>
              <w:rPr>
                <w:rFonts w:hint="eastAsia"/>
              </w:rPr>
              <w:t>（Target Audience）</w:t>
            </w:r>
          </w:p>
        </w:tc>
        <w:tc>
          <w:tcPr>
            <w:tcW w:w="8155" w:type="dxa"/>
            <w:gridSpan w:val="7"/>
            <w:vAlign w:val="center"/>
          </w:tcPr>
          <w:p>
            <w:pPr>
              <w:jc w:val="left"/>
            </w:pPr>
            <w:r>
              <w:rPr>
                <w:rFonts w:hint="eastAsia"/>
              </w:rPr>
              <w:t>全校本科生 Undergraduates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9" w:type="dxa"/>
            <w:vAlign w:val="center"/>
          </w:tcPr>
          <w:p>
            <w:pPr>
              <w:jc w:val="center"/>
            </w:pPr>
            <w:r>
              <w:rPr>
                <w:rFonts w:hint="eastAsia"/>
              </w:rPr>
              <w:t>授课语言</w:t>
            </w:r>
          </w:p>
          <w:p>
            <w:pPr>
              <w:jc w:val="left"/>
            </w:pPr>
            <w:r>
              <w:rPr>
                <w:rFonts w:hint="eastAsia"/>
              </w:rPr>
              <w:t>(Language of Instruction)</w:t>
            </w:r>
          </w:p>
        </w:tc>
        <w:tc>
          <w:tcPr>
            <w:tcW w:w="8155" w:type="dxa"/>
            <w:gridSpan w:val="7"/>
            <w:vAlign w:val="center"/>
          </w:tcPr>
          <w:p>
            <w:pPr>
              <w:jc w:val="left"/>
            </w:pPr>
            <w:r>
              <w:rPr>
                <w:rFonts w:hint="eastAsia"/>
              </w:rPr>
              <w:t>英汉双语 Bilingual (English + Chinese)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9"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8155" w:type="dxa"/>
            <w:gridSpan w:val="7"/>
            <w:vAlign w:val="center"/>
          </w:tcPr>
          <w:p>
            <w:pPr>
              <w:jc w:val="left"/>
            </w:pPr>
            <w:r>
              <w:rPr>
                <w:rFonts w:hint="eastAsia"/>
              </w:rPr>
              <w:t>外国语学院 School of Foreign Languages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9" w:type="dxa"/>
            <w:vAlign w:val="center"/>
          </w:tcPr>
          <w:p>
            <w:pPr>
              <w:jc w:val="center"/>
            </w:pPr>
            <w:r>
              <w:rPr>
                <w:rFonts w:hint="eastAsia"/>
              </w:rPr>
              <w:t>先修课程</w:t>
            </w:r>
          </w:p>
          <w:p>
            <w:pPr>
              <w:jc w:val="center"/>
            </w:pPr>
            <w:r>
              <w:rPr>
                <w:rFonts w:hint="eastAsia"/>
              </w:rPr>
              <w:t>（Prerequisite）</w:t>
            </w:r>
          </w:p>
        </w:tc>
        <w:tc>
          <w:tcPr>
            <w:tcW w:w="8155"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1769" w:type="dxa"/>
            <w:vAlign w:val="center"/>
          </w:tcPr>
          <w:p>
            <w:pPr>
              <w:jc w:val="center"/>
            </w:pPr>
            <w:r>
              <w:rPr>
                <w:rFonts w:hint="eastAsia"/>
              </w:rPr>
              <w:t>授课教师</w:t>
            </w:r>
          </w:p>
          <w:p>
            <w:pPr>
              <w:jc w:val="center"/>
            </w:pPr>
            <w:r>
              <w:rPr>
                <w:rFonts w:hint="eastAsia"/>
              </w:rPr>
              <w:t>（Instructor）</w:t>
            </w:r>
          </w:p>
        </w:tc>
        <w:tc>
          <w:tcPr>
            <w:tcW w:w="2763" w:type="dxa"/>
            <w:gridSpan w:val="2"/>
            <w:vAlign w:val="center"/>
          </w:tcPr>
          <w:p>
            <w:pPr>
              <w:jc w:val="center"/>
            </w:pPr>
            <w:r>
              <w:rPr>
                <w:rFonts w:hint="eastAsia"/>
              </w:rPr>
              <w:t>童剑平 Tong Jianping</w:t>
            </w:r>
          </w:p>
        </w:tc>
        <w:tc>
          <w:tcPr>
            <w:tcW w:w="1586"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3796" w:type="dxa"/>
            <w:gridSpan w:val="2"/>
            <w:vAlign w:val="center"/>
          </w:tcPr>
          <w:p>
            <w:pPr>
              <w:rPr>
                <w:color w:val="00B050"/>
              </w:rPr>
            </w:pPr>
            <w:r>
              <w:fldChar w:fldCharType="begin"/>
            </w:r>
            <w:r>
              <w:instrText xml:space="preserve"> HYPERLINK "http://cc.sjtu.edu.cn/Portal/CC" \l "course/all" </w:instrText>
            </w:r>
            <w:r>
              <w:fldChar w:fldCharType="separate"/>
            </w:r>
            <w:r>
              <w:rPr>
                <w:rStyle w:val="9"/>
              </w:rPr>
              <w:t>http://cc.sjtu.edu.cn/Portal/CC#course/all</w:t>
            </w:r>
            <w:r>
              <w:rPr>
                <w:rStyle w:val="9"/>
              </w:rPr>
              <w:fldChar w:fldCharType="end"/>
            </w:r>
            <w:r>
              <w:rPr>
                <w:rFonts w:hint="eastAsia"/>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769" w:type="dxa"/>
            <w:vAlign w:val="center"/>
          </w:tcPr>
          <w:p>
            <w:pPr>
              <w:jc w:val="center"/>
            </w:pPr>
            <w:r>
              <w:rPr>
                <w:rFonts w:hint="eastAsia"/>
                <w:color w:val="FF0000"/>
              </w:rPr>
              <w:t>*</w:t>
            </w:r>
            <w:r>
              <w:rPr>
                <w:rFonts w:hint="eastAsia"/>
              </w:rPr>
              <w:t>课程简介</w:t>
            </w:r>
            <w:r>
              <w:rPr>
                <w:rFonts w:hint="eastAsia"/>
                <w:w w:val="90"/>
              </w:rPr>
              <w:t>（Description）</w:t>
            </w:r>
          </w:p>
        </w:tc>
        <w:tc>
          <w:tcPr>
            <w:tcW w:w="8155" w:type="dxa"/>
            <w:gridSpan w:val="7"/>
            <w:vAlign w:val="center"/>
          </w:tcPr>
          <w:p>
            <w:r>
              <w:rPr>
                <w:rFonts w:hint="eastAsia" w:ascii="宋体" w:hAnsi="宋体" w:cs="Symeteo"/>
                <w:bCs/>
                <w:szCs w:val="21"/>
              </w:rPr>
              <w:t>本课程从历史的视角，概要介绍欧洲文化，通过课堂教学、文本阅读，并辅以相关视听、图片材料，学习和了解自古典时期至十九世纪欧洲文化的起源和发展进程中重要运动、在文学艺术和建筑方面取得的成就以及欧洲文化运动对社会生活的影响。课程旨在提高学生人文素养，让学生在学习、领略欧洲文化精髓的同时，建立对中外在文化方面所取得的成就从不同侧面贡献于人类文明发展的认识。课程将适当引入欧洲与中国在文化传统上的比较，以便学生形成广阔的知识视野，提高学生对事物的分析</w:t>
            </w:r>
            <w:r>
              <w:rPr>
                <w:rFonts w:hint="eastAsia"/>
                <w:szCs w:val="21"/>
              </w:rPr>
              <w:t>和批判</w:t>
            </w:r>
            <w:r>
              <w:rPr>
                <w:rFonts w:hint="eastAsia"/>
                <w:color w:val="000000"/>
                <w:szCs w:val="21"/>
              </w:rPr>
              <w:t>能力</w:t>
            </w:r>
            <w:r>
              <w:rPr>
                <w:rFonts w:hint="eastAsia"/>
                <w:b/>
                <w:szCs w:val="21"/>
              </w:rPr>
              <w:t>。</w:t>
            </w:r>
          </w:p>
          <w:p>
            <w:r>
              <w:rPr>
                <w:rFonts w:hint="eastAsia"/>
                <w:szCs w:val="21"/>
              </w:rPr>
              <w:t>本课程采用双语教学，有助于提高学生对涉及欧洲文化的英语文本的阅读和理解能力。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769"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8155" w:type="dxa"/>
            <w:gridSpan w:val="7"/>
            <w:tcBorders>
              <w:bottom w:val="single" w:color="auto" w:sz="4" w:space="0"/>
            </w:tcBorders>
            <w:vAlign w:val="center"/>
          </w:tcPr>
          <w:p>
            <w:pPr>
              <w:jc w:val="left"/>
            </w:pPr>
            <w:r>
              <w:rPr>
                <w:rFonts w:hint="eastAsia" w:eastAsia="楷体"/>
                <w:szCs w:val="21"/>
              </w:rPr>
              <w:t>T</w:t>
            </w:r>
            <w:r>
              <w:rPr>
                <w:rFonts w:eastAsia="楷体"/>
                <w:szCs w:val="21"/>
              </w:rPr>
              <w:t xml:space="preserve">his course aims to </w:t>
            </w:r>
            <w:r>
              <w:rPr>
                <w:rFonts w:hint="eastAsia" w:eastAsia="楷体"/>
                <w:szCs w:val="21"/>
              </w:rPr>
              <w:t xml:space="preserve">provide students with an overview of European culture. </w:t>
            </w:r>
            <w:r>
              <w:rPr>
                <w:rFonts w:eastAsia="楷体"/>
                <w:szCs w:val="21"/>
              </w:rPr>
              <w:t>I</w:t>
            </w:r>
            <w:r>
              <w:rPr>
                <w:rFonts w:hint="eastAsia" w:eastAsia="楷体"/>
                <w:szCs w:val="21"/>
              </w:rPr>
              <w:t xml:space="preserve">t takes a historical perspective and </w:t>
            </w:r>
            <w:r>
              <w:rPr>
                <w:rFonts w:eastAsia="楷体"/>
                <w:szCs w:val="21"/>
              </w:rPr>
              <w:t>help</w:t>
            </w:r>
            <w:r>
              <w:rPr>
                <w:rFonts w:hint="eastAsia" w:eastAsia="楷体"/>
                <w:szCs w:val="21"/>
              </w:rPr>
              <w:t>s</w:t>
            </w:r>
            <w:r>
              <w:rPr>
                <w:rFonts w:eastAsia="楷体"/>
                <w:szCs w:val="21"/>
              </w:rPr>
              <w:t xml:space="preserve"> students, through text reading</w:t>
            </w:r>
            <w:r>
              <w:rPr>
                <w:rFonts w:hint="eastAsia" w:eastAsia="楷体"/>
                <w:szCs w:val="21"/>
              </w:rPr>
              <w:t>，relevant documentary watching</w:t>
            </w:r>
            <w:r>
              <w:rPr>
                <w:rFonts w:eastAsia="楷体"/>
                <w:szCs w:val="21"/>
              </w:rPr>
              <w:t>,</w:t>
            </w:r>
            <w:r>
              <w:rPr>
                <w:rFonts w:hint="eastAsia" w:eastAsia="楷体"/>
                <w:szCs w:val="21"/>
              </w:rPr>
              <w:t xml:space="preserve"> </w:t>
            </w:r>
            <w:r>
              <w:rPr>
                <w:rFonts w:eastAsia="楷体"/>
                <w:szCs w:val="21"/>
              </w:rPr>
              <w:t xml:space="preserve"> </w:t>
            </w:r>
            <w:r>
              <w:rPr>
                <w:rFonts w:hint="eastAsia" w:eastAsia="楷体"/>
                <w:szCs w:val="21"/>
              </w:rPr>
              <w:t xml:space="preserve">picture appreciation, </w:t>
            </w:r>
            <w:r>
              <w:rPr>
                <w:rFonts w:eastAsia="楷体"/>
                <w:szCs w:val="21"/>
              </w:rPr>
              <w:t>better understand</w:t>
            </w:r>
            <w:r>
              <w:rPr>
                <w:rFonts w:hint="eastAsia" w:eastAsia="楷体"/>
                <w:szCs w:val="21"/>
              </w:rPr>
              <w:t xml:space="preserve"> the genesis of European culture,</w:t>
            </w:r>
            <w:r>
              <w:rPr>
                <w:rFonts w:eastAsia="楷体"/>
                <w:szCs w:val="21"/>
              </w:rPr>
              <w:t xml:space="preserve"> important movements </w:t>
            </w:r>
            <w:r>
              <w:rPr>
                <w:rFonts w:hint="eastAsia" w:eastAsia="楷体"/>
                <w:szCs w:val="21"/>
              </w:rPr>
              <w:t xml:space="preserve">and achievements </w:t>
            </w:r>
            <w:r>
              <w:rPr>
                <w:rFonts w:eastAsia="楷体"/>
                <w:szCs w:val="21"/>
              </w:rPr>
              <w:t xml:space="preserve">in </w:t>
            </w:r>
            <w:r>
              <w:rPr>
                <w:rFonts w:hint="eastAsia" w:eastAsia="楷体"/>
                <w:szCs w:val="21"/>
              </w:rPr>
              <w:t xml:space="preserve">the process of its </w:t>
            </w:r>
            <w:r>
              <w:rPr>
                <w:szCs w:val="21"/>
              </w:rPr>
              <w:t xml:space="preserve">evolvement </w:t>
            </w:r>
            <w:r>
              <w:rPr>
                <w:rFonts w:eastAsia="楷体"/>
                <w:szCs w:val="21"/>
              </w:rPr>
              <w:t>and their influences upon social life</w:t>
            </w:r>
            <w:r>
              <w:rPr>
                <w:rFonts w:hint="eastAsia" w:eastAsia="楷体"/>
                <w:szCs w:val="21"/>
              </w:rPr>
              <w:t xml:space="preserve">. </w:t>
            </w:r>
            <w:r>
              <w:rPr>
                <w:rFonts w:eastAsia="楷体"/>
                <w:szCs w:val="21"/>
              </w:rPr>
              <w:t>I</w:t>
            </w:r>
            <w:r>
              <w:rPr>
                <w:rFonts w:hint="eastAsia" w:eastAsia="楷体"/>
                <w:szCs w:val="21"/>
              </w:rPr>
              <w:t>t is hoped that the course will enhance students</w:t>
            </w:r>
            <w:r>
              <w:rPr>
                <w:rFonts w:eastAsia="楷体"/>
                <w:szCs w:val="21"/>
              </w:rPr>
              <w:t>’</w:t>
            </w:r>
            <w:r>
              <w:rPr>
                <w:rFonts w:hint="eastAsia" w:eastAsia="楷体"/>
                <w:szCs w:val="21"/>
              </w:rPr>
              <w:t xml:space="preserve"> humanistic awareness, broaden their academic view and increase their ability in critical-thinking. </w:t>
            </w:r>
            <w:r>
              <w:rPr>
                <w:rFonts w:eastAsia="楷体"/>
                <w:szCs w:val="21"/>
              </w:rPr>
              <w:t>Furthermore</w:t>
            </w:r>
            <w:r>
              <w:rPr>
                <w:rFonts w:hint="eastAsia" w:eastAsia="楷体"/>
                <w:szCs w:val="21"/>
              </w:rPr>
              <w:t>, the course is intended to benefit its takers as far as the use of English language is concerned.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769"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8155" w:type="dxa"/>
            <w:gridSpan w:val="7"/>
            <w:vAlign w:val="center"/>
          </w:tcPr>
          <w:p/>
          <w:p>
            <w:pPr>
              <w:ind w:firstLine="420" w:firstLineChars="200"/>
              <w:rPr>
                <w:rFonts w:ascii="宋体" w:hAnsi="宋体" w:cs="宋体"/>
                <w:kern w:val="0"/>
                <w:szCs w:val="21"/>
              </w:rPr>
            </w:pPr>
            <w:r>
              <w:rPr>
                <w:rFonts w:hint="eastAsia" w:ascii="宋体" w:hAnsi="宋体" w:cs="宋体"/>
                <w:kern w:val="0"/>
                <w:szCs w:val="21"/>
              </w:rPr>
              <w:t>课程通过介绍欧洲各历史时期--古希腊罗马、中世纪基督教、文艺复兴与宗教改革、自然科学发展与启蒙运动至十九世纪--主要文化成就，实现以下教学目标：</w:t>
            </w:r>
          </w:p>
          <w:p>
            <w:pPr>
              <w:pStyle w:val="12"/>
              <w:numPr>
                <w:ilvl w:val="0"/>
                <w:numId w:val="1"/>
              </w:numPr>
              <w:ind w:firstLineChars="0"/>
              <w:rPr>
                <w:rFonts w:ascii="宋体" w:hAnsi="宋体" w:cs="宋体"/>
                <w:kern w:val="0"/>
                <w:szCs w:val="21"/>
              </w:rPr>
            </w:pPr>
            <w:r>
              <w:rPr>
                <w:rFonts w:hint="eastAsia" w:ascii="宋体" w:hAnsi="宋体" w:cs="宋体"/>
                <w:kern w:val="0"/>
                <w:szCs w:val="21"/>
              </w:rPr>
              <w:t>学生在学习、了解欧洲文化的同时，增加系统性知识积累。</w:t>
            </w:r>
          </w:p>
          <w:p>
            <w:pPr>
              <w:pStyle w:val="12"/>
              <w:numPr>
                <w:ilvl w:val="0"/>
                <w:numId w:val="1"/>
              </w:numPr>
              <w:ind w:firstLineChars="0"/>
              <w:rPr>
                <w:color w:val="00B050"/>
              </w:rPr>
            </w:pPr>
            <w:r>
              <w:rPr>
                <w:rFonts w:hint="eastAsia" w:ascii="宋体" w:hAnsi="宋体" w:cs="宋体"/>
                <w:kern w:val="0"/>
                <w:szCs w:val="21"/>
              </w:rPr>
              <w:t>课程采用英汉双语教学，提高学生的英语文本解读能力、分析批评能力。</w:t>
            </w:r>
          </w:p>
          <w:p>
            <w:pPr>
              <w:pStyle w:val="12"/>
              <w:numPr>
                <w:ilvl w:val="0"/>
                <w:numId w:val="1"/>
              </w:numPr>
              <w:ind w:firstLineChars="0"/>
              <w:rPr>
                <w:rFonts w:hint="eastAsia"/>
              </w:rPr>
            </w:pPr>
            <w:r>
              <w:rPr>
                <w:rFonts w:hint="eastAsia" w:ascii="宋体" w:hAnsi="宋体" w:cs="宋体"/>
                <w:kern w:val="0"/>
                <w:szCs w:val="21"/>
              </w:rPr>
              <w:t>学生建立开阔的知识视野，提高人文素养。</w:t>
            </w:r>
          </w:p>
          <w:p>
            <w:pPr>
              <w:rPr>
                <w:rFonts w:hint="eastAsia"/>
              </w:rPr>
            </w:pPr>
          </w:p>
          <w:p>
            <w:r>
              <w:t xml:space="preserve">The course </w:t>
            </w:r>
            <w:r>
              <w:rPr>
                <w:rFonts w:hint="eastAsia"/>
              </w:rPr>
              <w:t>aims to achieve</w:t>
            </w:r>
            <w:r>
              <w:t xml:space="preserve"> the following teaching objectives by introducing the major cultural achievements of the various historical periods in Europe - Ancient Greece and Rome, Medieval Christianity, Renaissance and </w:t>
            </w:r>
            <w:r>
              <w:rPr>
                <w:rFonts w:hint="eastAsia"/>
              </w:rPr>
              <w:t xml:space="preserve">Religious </w:t>
            </w:r>
            <w:r>
              <w:t>Reformation, Natural Science Development and Enlightenment</w:t>
            </w:r>
            <w:r>
              <w:rPr>
                <w:rFonts w:hint="eastAsia"/>
              </w:rPr>
              <w:t xml:space="preserve"> Movement</w:t>
            </w:r>
            <w:r>
              <w:t xml:space="preserve"> to the 19th century:</w:t>
            </w:r>
          </w:p>
          <w:p>
            <w:r>
              <w:t>1. Students</w:t>
            </w:r>
            <w:r>
              <w:rPr>
                <w:rFonts w:hint="eastAsia"/>
              </w:rPr>
              <w:t xml:space="preserve"> can</w:t>
            </w:r>
            <w:r>
              <w:t xml:space="preserve"> learn and understand European culture while accumulati</w:t>
            </w:r>
            <w:r>
              <w:rPr>
                <w:rFonts w:hint="eastAsia"/>
              </w:rPr>
              <w:t>ng</w:t>
            </w:r>
            <w:r>
              <w:t xml:space="preserve"> systematic knowledge.</w:t>
            </w:r>
          </w:p>
          <w:p>
            <w:r>
              <w:t>2. The course adopts bilingual teaching in English and Chinese to improve students' ability to</w:t>
            </w:r>
            <w:r>
              <w:rPr>
                <w:rFonts w:hint="eastAsia"/>
              </w:rPr>
              <w:t xml:space="preserve"> </w:t>
            </w:r>
            <w:r>
              <w:t>int</w:t>
            </w:r>
            <w:r>
              <w:rPr>
                <w:rFonts w:hint="eastAsia"/>
              </w:rPr>
              <w:t>erpret,</w:t>
            </w:r>
            <w:r>
              <w:t xml:space="preserve"> analyze and criticize English texts.</w:t>
            </w:r>
          </w:p>
          <w:p>
            <w:r>
              <w:t xml:space="preserve">3. Students </w:t>
            </w:r>
            <w:r>
              <w:rPr>
                <w:rFonts w:hint="eastAsia"/>
              </w:rPr>
              <w:t xml:space="preserve">can </w:t>
            </w:r>
            <w:r>
              <w:t xml:space="preserve">build an open horizon of knowledge and </w:t>
            </w:r>
            <w:r>
              <w:rPr>
                <w:rFonts w:hint="eastAsia"/>
              </w:rPr>
              <w:t>enhance</w:t>
            </w:r>
            <w:r>
              <w:t xml:space="preserve"> their humanit</w:t>
            </w:r>
            <w:r>
              <w:rPr>
                <w:rFonts w:hint="eastAsia"/>
              </w:rPr>
              <w:t>y qualities</w:t>
            </w:r>
            <w:r>
              <w:t>.</w:t>
            </w:r>
          </w:p>
          <w:p>
            <w:pPr>
              <w:pStyle w:val="12"/>
              <w:ind w:left="360"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9"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8155" w:type="dxa"/>
            <w:gridSpan w:val="7"/>
            <w:vAlign w:val="center"/>
          </w:tcPr>
          <w:tbl>
            <w:tblPr>
              <w:tblStyle w:val="11"/>
              <w:tblW w:w="7854"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699"/>
              <w:gridCol w:w="1049"/>
              <w:gridCol w:w="1408"/>
              <w:gridCol w:w="1520"/>
              <w:gridCol w:w="171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67" w:type="dxa"/>
                </w:tcPr>
                <w:p>
                  <w:pPr>
                    <w:jc w:val="center"/>
                    <w:rPr>
                      <w:rFonts w:hint="eastAsia"/>
                    </w:rPr>
                  </w:pPr>
                  <w:r>
                    <w:rPr>
                      <w:rFonts w:hint="eastAsia"/>
                    </w:rPr>
                    <w:t>教学内容</w:t>
                  </w:r>
                </w:p>
                <w:p>
                  <w:pPr>
                    <w:jc w:val="center"/>
                  </w:pPr>
                  <w:r>
                    <w:rPr>
                      <w:rFonts w:hint="eastAsia"/>
                    </w:rPr>
                    <w:t>Content</w:t>
                  </w:r>
                </w:p>
              </w:tc>
              <w:tc>
                <w:tcPr>
                  <w:tcW w:w="699" w:type="dxa"/>
                </w:tcPr>
                <w:p>
                  <w:pPr>
                    <w:jc w:val="center"/>
                    <w:rPr>
                      <w:rFonts w:hint="eastAsia"/>
                    </w:rPr>
                  </w:pPr>
                  <w:r>
                    <w:rPr>
                      <w:rFonts w:hint="eastAsia"/>
                    </w:rPr>
                    <w:t>学时</w:t>
                  </w:r>
                </w:p>
                <w:p>
                  <w:pPr>
                    <w:jc w:val="center"/>
                  </w:pPr>
                  <w:r>
                    <w:rPr>
                      <w:rFonts w:hint="eastAsia"/>
                    </w:rPr>
                    <w:t>Class Hour</w:t>
                  </w:r>
                </w:p>
              </w:tc>
              <w:tc>
                <w:tcPr>
                  <w:tcW w:w="1049" w:type="dxa"/>
                </w:tcPr>
                <w:p>
                  <w:pPr>
                    <w:jc w:val="center"/>
                    <w:rPr>
                      <w:rFonts w:hint="eastAsia"/>
                    </w:rPr>
                  </w:pPr>
                  <w:r>
                    <w:rPr>
                      <w:rFonts w:hint="eastAsia"/>
                    </w:rPr>
                    <w:t>教学方式</w:t>
                  </w:r>
                </w:p>
                <w:p>
                  <w:pPr>
                    <w:jc w:val="center"/>
                  </w:pPr>
                  <w:r>
                    <w:rPr>
                      <w:rFonts w:hint="eastAsia"/>
                    </w:rPr>
                    <w:t>Method</w:t>
                  </w:r>
                </w:p>
              </w:tc>
              <w:tc>
                <w:tcPr>
                  <w:tcW w:w="1408" w:type="dxa"/>
                </w:tcPr>
                <w:p>
                  <w:pPr>
                    <w:jc w:val="center"/>
                    <w:rPr>
                      <w:rFonts w:hint="eastAsia"/>
                    </w:rPr>
                  </w:pPr>
                  <w:r>
                    <w:rPr>
                      <w:rFonts w:hint="eastAsia"/>
                    </w:rPr>
                    <w:t>作业及要求</w:t>
                  </w:r>
                </w:p>
                <w:p>
                  <w:pPr>
                    <w:jc w:val="center"/>
                  </w:pPr>
                  <w:r>
                    <w:rPr>
                      <w:rFonts w:hint="eastAsia"/>
                    </w:rPr>
                    <w:t>Task and Requirements</w:t>
                  </w:r>
                </w:p>
              </w:tc>
              <w:tc>
                <w:tcPr>
                  <w:tcW w:w="1520" w:type="dxa"/>
                </w:tcPr>
                <w:p>
                  <w:pPr>
                    <w:rPr>
                      <w:rFonts w:hint="eastAsia"/>
                    </w:rPr>
                  </w:pPr>
                  <w:r>
                    <w:rPr>
                      <w:rFonts w:hint="eastAsia"/>
                    </w:rPr>
                    <w:t>基本要求</w:t>
                  </w:r>
                </w:p>
                <w:p>
                  <w:r>
                    <w:rPr>
                      <w:rFonts w:hint="eastAsia"/>
                    </w:rPr>
                    <w:t>Basic Requirements</w:t>
                  </w:r>
                </w:p>
              </w:tc>
              <w:tc>
                <w:tcPr>
                  <w:tcW w:w="1711" w:type="dxa"/>
                </w:tcPr>
                <w:p>
                  <w:pPr>
                    <w:jc w:val="center"/>
                    <w:rPr>
                      <w:rFonts w:hint="eastAsia"/>
                    </w:rPr>
                  </w:pPr>
                  <w:r>
                    <w:rPr>
                      <w:rFonts w:hint="eastAsia"/>
                    </w:rPr>
                    <w:t>考查方式</w:t>
                  </w:r>
                </w:p>
                <w:p>
                  <w:pPr>
                    <w:jc w:val="center"/>
                  </w:pPr>
                  <w:r>
                    <w:rPr>
                      <w:rFonts w:hint="eastAsia"/>
                    </w:rPr>
                    <w:t>Evaluation Method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67" w:type="dxa"/>
                  <w:vAlign w:val="center"/>
                </w:tcPr>
                <w:p>
                  <w:pPr>
                    <w:spacing w:line="0" w:lineRule="atLeast"/>
                    <w:rPr>
                      <w:rFonts w:hint="eastAsia" w:ascii="Times New Roman" w:hAnsi="Times New Roman"/>
                    </w:rPr>
                  </w:pPr>
                  <w:r>
                    <w:rPr>
                      <w:rFonts w:ascii="Times New Roman" w:hAnsi="Times New Roman"/>
                    </w:rPr>
                    <w:t>I.</w:t>
                  </w:r>
                  <w:r>
                    <w:rPr>
                      <w:rFonts w:hint="eastAsia" w:ascii="Times New Roman" w:hAnsi="Times New Roman"/>
                    </w:rPr>
                    <w:t>古希腊文化</w:t>
                  </w:r>
                </w:p>
                <w:p>
                  <w:pPr>
                    <w:spacing w:line="0" w:lineRule="atLeast"/>
                    <w:rPr>
                      <w:rFonts w:ascii="Times New Roman" w:hAnsi="Times New Roman"/>
                      <w:b/>
                    </w:rPr>
                  </w:pPr>
                  <w:r>
                    <w:t>Ancient Greece</w:t>
                  </w:r>
                  <w:r>
                    <w:rPr>
                      <w:rFonts w:hint="eastAsia"/>
                    </w:rPr>
                    <w:t xml:space="preserve"> Culture</w:t>
                  </w:r>
                </w:p>
                <w:p>
                  <w:pPr>
                    <w:jc w:val="center"/>
                  </w:pPr>
                  <w:r>
                    <w:rPr>
                      <w:rFonts w:ascii="Times New Roman" w:hAnsi="Times New Roman"/>
                    </w:rPr>
                    <w:t xml:space="preserve"> </w:t>
                  </w:r>
                </w:p>
              </w:tc>
              <w:tc>
                <w:tcPr>
                  <w:tcW w:w="699" w:type="dxa"/>
                  <w:vAlign w:val="center"/>
                </w:tcPr>
                <w:p>
                  <w:pPr>
                    <w:jc w:val="center"/>
                  </w:pPr>
                  <w:r>
                    <w:rPr>
                      <w:rFonts w:hint="eastAsia"/>
                    </w:rPr>
                    <w:t>4</w:t>
                  </w:r>
                </w:p>
              </w:tc>
              <w:tc>
                <w:tcPr>
                  <w:tcW w:w="1049" w:type="dxa"/>
                  <w:vAlign w:val="center"/>
                </w:tcPr>
                <w:p>
                  <w:pPr>
                    <w:jc w:val="center"/>
                    <w:rPr>
                      <w:rFonts w:hint="eastAsia" w:ascii="Times New Roman"/>
                      <w:b/>
                      <w:bCs/>
                    </w:rPr>
                  </w:pPr>
                  <w:r>
                    <w:rPr>
                      <w:rFonts w:ascii="Times New Roman"/>
                      <w:b/>
                      <w:bCs/>
                    </w:rPr>
                    <w:t>课堂教学</w:t>
                  </w:r>
                </w:p>
                <w:p>
                  <w:pPr>
                    <w:jc w:val="center"/>
                  </w:pPr>
                  <w:r>
                    <w:rPr>
                      <w:rFonts w:hint="eastAsia" w:ascii="Times New Roman"/>
                      <w:b/>
                      <w:bCs/>
                    </w:rPr>
                    <w:t>Lecture</w:t>
                  </w:r>
                </w:p>
              </w:tc>
              <w:tc>
                <w:tcPr>
                  <w:tcW w:w="1408" w:type="dxa"/>
                  <w:vAlign w:val="center"/>
                </w:tcPr>
                <w:p>
                  <w:pPr>
                    <w:jc w:val="left"/>
                  </w:pPr>
                  <w:r>
                    <w:rPr>
                      <w:rFonts w:hint="eastAsia"/>
                    </w:rPr>
                    <w:t>完成课后阅读材料并回答相关思考问题；准备团组大作业 Read materials and answer questions; Prepare for group work</w:t>
                  </w:r>
                </w:p>
              </w:tc>
              <w:tc>
                <w:tcPr>
                  <w:tcW w:w="1520" w:type="dxa"/>
                  <w:vAlign w:val="center"/>
                </w:tcPr>
                <w:p>
                  <w:pPr>
                    <w:jc w:val="left"/>
                  </w:pPr>
                  <w:r>
                    <w:rPr>
                      <w:rFonts w:hint="eastAsia"/>
                    </w:rPr>
                    <w:t xml:space="preserve">对所阅读的材料能进行基本分析、评论 </w:t>
                  </w:r>
                  <w:r>
                    <w:t xml:space="preserve">Basic analysis and comment </w:t>
                  </w:r>
                  <w:r>
                    <w:rPr>
                      <w:rFonts w:hint="eastAsia"/>
                    </w:rPr>
                    <w:t>concerning</w:t>
                  </w:r>
                  <w:r>
                    <w:t xml:space="preserve"> the materials </w:t>
                  </w:r>
                </w:p>
              </w:tc>
              <w:tc>
                <w:tcPr>
                  <w:tcW w:w="1711" w:type="dxa"/>
                  <w:vAlign w:val="center"/>
                </w:tcPr>
                <w:p>
                  <w:r>
                    <w:rPr>
                      <w:rFonts w:hint="eastAsia"/>
                    </w:rPr>
                    <w:t>课堂讨论 Class 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67" w:type="dxa"/>
                  <w:vAlign w:val="center"/>
                </w:tcPr>
                <w:p>
                  <w:pPr>
                    <w:spacing w:line="0" w:lineRule="atLeast"/>
                    <w:rPr>
                      <w:rFonts w:ascii="Times New Roman" w:hAnsi="Times New Roman"/>
                    </w:rPr>
                  </w:pPr>
                  <w:r>
                    <w:rPr>
                      <w:rFonts w:ascii="Times New Roman" w:hAnsi="Times New Roman"/>
                    </w:rPr>
                    <w:t>I.</w:t>
                  </w:r>
                  <w:r>
                    <w:rPr>
                      <w:rFonts w:hint="eastAsia" w:ascii="Times New Roman" w:hAnsi="Times New Roman"/>
                    </w:rPr>
                    <w:t>古罗马文化 Ancient Rome Culture</w:t>
                  </w:r>
                </w:p>
                <w:p>
                  <w:pPr>
                    <w:jc w:val="center"/>
                  </w:pPr>
                  <w:r>
                    <w:rPr>
                      <w:rFonts w:ascii="Times New Roman" w:hAnsi="Times New Roman"/>
                    </w:rPr>
                    <w:t xml:space="preserve"> </w:t>
                  </w:r>
                </w:p>
              </w:tc>
              <w:tc>
                <w:tcPr>
                  <w:tcW w:w="699" w:type="dxa"/>
                  <w:vAlign w:val="center"/>
                </w:tcPr>
                <w:p>
                  <w:pPr>
                    <w:jc w:val="center"/>
                  </w:pPr>
                  <w:r>
                    <w:rPr>
                      <w:rFonts w:hint="eastAsia"/>
                    </w:rPr>
                    <w:t>4</w:t>
                  </w:r>
                </w:p>
              </w:tc>
              <w:tc>
                <w:tcPr>
                  <w:tcW w:w="1049" w:type="dxa"/>
                  <w:vAlign w:val="center"/>
                </w:tcPr>
                <w:p>
                  <w:pPr>
                    <w:jc w:val="center"/>
                    <w:rPr>
                      <w:rFonts w:hint="eastAsia" w:ascii="Times New Roman"/>
                      <w:b/>
                      <w:bCs/>
                    </w:rPr>
                  </w:pPr>
                  <w:r>
                    <w:rPr>
                      <w:rFonts w:ascii="Times New Roman"/>
                      <w:b/>
                      <w:bCs/>
                    </w:rPr>
                    <w:t>课堂教学</w:t>
                  </w:r>
                </w:p>
                <w:p>
                  <w:pPr>
                    <w:jc w:val="center"/>
                  </w:pPr>
                  <w:r>
                    <w:rPr>
                      <w:rFonts w:hint="eastAsia" w:ascii="Times New Roman"/>
                      <w:b/>
                      <w:bCs/>
                    </w:rPr>
                    <w:t>Lecture</w:t>
                  </w:r>
                </w:p>
              </w:tc>
              <w:tc>
                <w:tcPr>
                  <w:tcW w:w="1408" w:type="dxa"/>
                  <w:vAlign w:val="center"/>
                </w:tcPr>
                <w:p>
                  <w:pPr>
                    <w:jc w:val="left"/>
                  </w:pPr>
                  <w:r>
                    <w:rPr>
                      <w:rFonts w:hint="eastAsia"/>
                    </w:rPr>
                    <w:t>完成课后阅读材料并回答相关思考问题；准备团组大作业 Read materials and answer questions; Prepare for group work</w:t>
                  </w:r>
                </w:p>
              </w:tc>
              <w:tc>
                <w:tcPr>
                  <w:tcW w:w="1520" w:type="dxa"/>
                  <w:vAlign w:val="center"/>
                </w:tcPr>
                <w:p>
                  <w:pPr>
                    <w:jc w:val="left"/>
                  </w:pPr>
                  <w:r>
                    <w:rPr>
                      <w:rFonts w:hint="eastAsia"/>
                    </w:rPr>
                    <w:t xml:space="preserve">对所阅读的材料能进行基本分析、评论 </w:t>
                  </w:r>
                  <w:r>
                    <w:t xml:space="preserve">Basic analysis and comment </w:t>
                  </w:r>
                  <w:r>
                    <w:rPr>
                      <w:rFonts w:hint="eastAsia"/>
                    </w:rPr>
                    <w:t>concerning</w:t>
                  </w:r>
                  <w:r>
                    <w:t xml:space="preserve"> the materials</w:t>
                  </w:r>
                </w:p>
              </w:tc>
              <w:tc>
                <w:tcPr>
                  <w:tcW w:w="1711" w:type="dxa"/>
                  <w:vAlign w:val="center"/>
                </w:tcPr>
                <w:p>
                  <w:r>
                    <w:rPr>
                      <w:rFonts w:hint="eastAsia"/>
                    </w:rPr>
                    <w:t>课堂讨论 Class 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67" w:type="dxa"/>
                  <w:vAlign w:val="center"/>
                </w:tcPr>
                <w:p>
                  <w:pPr>
                    <w:jc w:val="left"/>
                  </w:pPr>
                  <w:r>
                    <w:rPr>
                      <w:rFonts w:ascii="Times New Roman" w:hAnsi="Times New Roman"/>
                    </w:rPr>
                    <w:t>II-III.</w:t>
                  </w:r>
                  <w:r>
                    <w:rPr>
                      <w:rFonts w:hint="eastAsia" w:ascii="Times New Roman" w:hAnsi="Times New Roman"/>
                    </w:rPr>
                    <w:t xml:space="preserve"> </w:t>
                  </w:r>
                  <w:r>
                    <w:rPr>
                      <w:rFonts w:ascii="Times New Roman"/>
                    </w:rPr>
                    <w:t>基督教文化与中世纪</w:t>
                  </w:r>
                  <w:r>
                    <w:rPr>
                      <w:rFonts w:hint="eastAsia" w:ascii="Times New Roman"/>
                    </w:rPr>
                    <w:t xml:space="preserve"> </w:t>
                  </w:r>
                  <w:r>
                    <w:t>Medieval Christianity</w:t>
                  </w:r>
                </w:p>
              </w:tc>
              <w:tc>
                <w:tcPr>
                  <w:tcW w:w="699" w:type="dxa"/>
                  <w:vAlign w:val="center"/>
                </w:tcPr>
                <w:p>
                  <w:pPr>
                    <w:jc w:val="center"/>
                  </w:pPr>
                  <w:r>
                    <w:rPr>
                      <w:rFonts w:hint="eastAsia"/>
                    </w:rPr>
                    <w:t>8</w:t>
                  </w:r>
                </w:p>
              </w:tc>
              <w:tc>
                <w:tcPr>
                  <w:tcW w:w="1049" w:type="dxa"/>
                  <w:vAlign w:val="center"/>
                </w:tcPr>
                <w:p>
                  <w:pPr>
                    <w:jc w:val="center"/>
                    <w:rPr>
                      <w:rFonts w:hint="eastAsia" w:ascii="Times New Roman"/>
                      <w:b/>
                      <w:bCs/>
                    </w:rPr>
                  </w:pPr>
                  <w:r>
                    <w:rPr>
                      <w:rFonts w:ascii="Times New Roman"/>
                      <w:b/>
                      <w:bCs/>
                    </w:rPr>
                    <w:t>课堂教学</w:t>
                  </w:r>
                </w:p>
                <w:p>
                  <w:pPr>
                    <w:jc w:val="center"/>
                  </w:pPr>
                  <w:r>
                    <w:rPr>
                      <w:rFonts w:hint="eastAsia" w:ascii="Times New Roman"/>
                      <w:b/>
                      <w:bCs/>
                    </w:rPr>
                    <w:t>Lecture</w:t>
                  </w:r>
                </w:p>
              </w:tc>
              <w:tc>
                <w:tcPr>
                  <w:tcW w:w="1408" w:type="dxa"/>
                  <w:vAlign w:val="center"/>
                </w:tcPr>
                <w:p>
                  <w:pPr>
                    <w:jc w:val="left"/>
                  </w:pPr>
                  <w:r>
                    <w:rPr>
                      <w:rFonts w:hint="eastAsia"/>
                    </w:rPr>
                    <w:t>完成课后阅读材料并回答相关思考问题；准备团组大作业 Read materials and answer questions; Prepare for group work</w:t>
                  </w:r>
                </w:p>
              </w:tc>
              <w:tc>
                <w:tcPr>
                  <w:tcW w:w="1520" w:type="dxa"/>
                  <w:vAlign w:val="center"/>
                </w:tcPr>
                <w:p>
                  <w:pPr>
                    <w:jc w:val="left"/>
                  </w:pPr>
                  <w:r>
                    <w:rPr>
                      <w:rFonts w:hint="eastAsia"/>
                    </w:rPr>
                    <w:t xml:space="preserve">对所阅读的材料能进行基本分析、评论 </w:t>
                  </w:r>
                  <w:r>
                    <w:t xml:space="preserve">Basic analysis and comment </w:t>
                  </w:r>
                  <w:r>
                    <w:rPr>
                      <w:rFonts w:hint="eastAsia"/>
                    </w:rPr>
                    <w:t>concerning</w:t>
                  </w:r>
                  <w:r>
                    <w:t xml:space="preserve"> the materials</w:t>
                  </w:r>
                </w:p>
              </w:tc>
              <w:tc>
                <w:tcPr>
                  <w:tcW w:w="1711" w:type="dxa"/>
                </w:tcPr>
                <w:p>
                  <w:r>
                    <w:rPr>
                      <w:rFonts w:hint="eastAsia"/>
                    </w:rPr>
                    <w:t>课堂讨论 Class 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67" w:type="dxa"/>
                  <w:vAlign w:val="center"/>
                </w:tcPr>
                <w:p>
                  <w:pPr>
                    <w:spacing w:line="0" w:lineRule="atLeast"/>
                    <w:rPr>
                      <w:rFonts w:ascii="Times New Roman" w:hAnsi="Times New Roman"/>
                    </w:rPr>
                  </w:pPr>
                  <w:r>
                    <w:rPr>
                      <w:rFonts w:ascii="Times New Roman" w:hAnsi="Times New Roman"/>
                    </w:rPr>
                    <w:t xml:space="preserve">IV. </w:t>
                  </w:r>
                  <w:r>
                    <w:rPr>
                      <w:rFonts w:ascii="Times New Roman"/>
                    </w:rPr>
                    <w:t>文艺复兴与宗教改革</w:t>
                  </w:r>
                  <w:r>
                    <w:rPr>
                      <w:rFonts w:ascii="Times New Roman" w:hAnsi="Times New Roman"/>
                    </w:rPr>
                    <w:t xml:space="preserve"> </w:t>
                  </w:r>
                  <w:r>
                    <w:t xml:space="preserve">Renaissance and </w:t>
                  </w:r>
                  <w:r>
                    <w:rPr>
                      <w:rFonts w:hint="eastAsia"/>
                    </w:rPr>
                    <w:t xml:space="preserve">Religious </w:t>
                  </w:r>
                  <w:r>
                    <w:t>Reformation</w:t>
                  </w:r>
                </w:p>
              </w:tc>
              <w:tc>
                <w:tcPr>
                  <w:tcW w:w="699" w:type="dxa"/>
                  <w:vAlign w:val="center"/>
                </w:tcPr>
                <w:p>
                  <w:pPr>
                    <w:jc w:val="center"/>
                  </w:pPr>
                  <w:r>
                    <w:rPr>
                      <w:rFonts w:hint="eastAsia"/>
                    </w:rPr>
                    <w:t>6</w:t>
                  </w:r>
                </w:p>
              </w:tc>
              <w:tc>
                <w:tcPr>
                  <w:tcW w:w="1049" w:type="dxa"/>
                  <w:vAlign w:val="center"/>
                </w:tcPr>
                <w:p>
                  <w:pPr>
                    <w:jc w:val="center"/>
                    <w:rPr>
                      <w:rFonts w:hint="eastAsia" w:ascii="Times New Roman"/>
                      <w:b/>
                      <w:bCs/>
                    </w:rPr>
                  </w:pPr>
                  <w:r>
                    <w:rPr>
                      <w:rFonts w:ascii="Times New Roman"/>
                      <w:b/>
                      <w:bCs/>
                    </w:rPr>
                    <w:t>课堂教学</w:t>
                  </w:r>
                </w:p>
                <w:p>
                  <w:pPr>
                    <w:jc w:val="center"/>
                  </w:pPr>
                  <w:r>
                    <w:rPr>
                      <w:rFonts w:hint="eastAsia" w:ascii="Times New Roman"/>
                      <w:b/>
                      <w:bCs/>
                    </w:rPr>
                    <w:t>Lecture</w:t>
                  </w:r>
                </w:p>
              </w:tc>
              <w:tc>
                <w:tcPr>
                  <w:tcW w:w="1408" w:type="dxa"/>
                  <w:vAlign w:val="center"/>
                </w:tcPr>
                <w:p>
                  <w:pPr>
                    <w:jc w:val="left"/>
                    <w:rPr>
                      <w:b/>
                    </w:rPr>
                  </w:pPr>
                  <w:r>
                    <w:rPr>
                      <w:rFonts w:hint="eastAsia"/>
                    </w:rPr>
                    <w:t>完成课后阅读材料并回答相关思考问题；准备团组大作业 Read materials and answer questions; Prepare for group work</w:t>
                  </w:r>
                </w:p>
              </w:tc>
              <w:tc>
                <w:tcPr>
                  <w:tcW w:w="1520" w:type="dxa"/>
                  <w:vAlign w:val="center"/>
                </w:tcPr>
                <w:p>
                  <w:pPr>
                    <w:jc w:val="left"/>
                  </w:pPr>
                  <w:r>
                    <w:rPr>
                      <w:rFonts w:hint="eastAsia"/>
                    </w:rPr>
                    <w:t xml:space="preserve">对所阅读的材料能进行基本分析、评论 </w:t>
                  </w:r>
                  <w:r>
                    <w:t xml:space="preserve">Basic analysis and comment </w:t>
                  </w:r>
                  <w:r>
                    <w:rPr>
                      <w:rFonts w:hint="eastAsia"/>
                    </w:rPr>
                    <w:t>concerning</w:t>
                  </w:r>
                  <w:r>
                    <w:t xml:space="preserve"> the materials</w:t>
                  </w:r>
                </w:p>
              </w:tc>
              <w:tc>
                <w:tcPr>
                  <w:tcW w:w="1711" w:type="dxa"/>
                </w:tcPr>
                <w:p>
                  <w:r>
                    <w:rPr>
                      <w:rFonts w:hint="eastAsia"/>
                    </w:rPr>
                    <w:t>测验 Test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67" w:type="dxa"/>
                  <w:vAlign w:val="center"/>
                </w:tcPr>
                <w:p>
                  <w:pPr>
                    <w:spacing w:line="0" w:lineRule="atLeast"/>
                  </w:pPr>
                  <w:r>
                    <w:rPr>
                      <w:rFonts w:ascii="Times New Roman" w:hAnsi="Times New Roman"/>
                    </w:rPr>
                    <w:t xml:space="preserve">V. </w:t>
                  </w:r>
                  <w:r>
                    <w:rPr>
                      <w:rFonts w:ascii="Times New Roman"/>
                    </w:rPr>
                    <w:t>十七世纪</w:t>
                  </w:r>
                  <w:r>
                    <w:rPr>
                      <w:rFonts w:hint="eastAsia" w:ascii="Times New Roman"/>
                    </w:rPr>
                    <w:t xml:space="preserve"> 17</w:t>
                  </w:r>
                  <w:r>
                    <w:rPr>
                      <w:rFonts w:hint="eastAsia" w:ascii="Times New Roman"/>
                      <w:vertAlign w:val="superscript"/>
                    </w:rPr>
                    <w:t>th</w:t>
                  </w:r>
                  <w:r>
                    <w:rPr>
                      <w:rFonts w:hint="eastAsia" w:ascii="Times New Roman"/>
                    </w:rPr>
                    <w:t xml:space="preserve"> Century</w:t>
                  </w:r>
                  <w:r>
                    <w:rPr>
                      <w:rFonts w:ascii="Times New Roman" w:hAnsi="Times New Roman"/>
                    </w:rPr>
                    <w:t xml:space="preserve"> </w:t>
                  </w:r>
                </w:p>
              </w:tc>
              <w:tc>
                <w:tcPr>
                  <w:tcW w:w="699" w:type="dxa"/>
                  <w:vAlign w:val="center"/>
                </w:tcPr>
                <w:p>
                  <w:pPr>
                    <w:jc w:val="center"/>
                  </w:pPr>
                  <w:r>
                    <w:rPr>
                      <w:rFonts w:hint="eastAsia"/>
                    </w:rPr>
                    <w:t>4</w:t>
                  </w:r>
                </w:p>
              </w:tc>
              <w:tc>
                <w:tcPr>
                  <w:tcW w:w="1049" w:type="dxa"/>
                  <w:vAlign w:val="center"/>
                </w:tcPr>
                <w:p>
                  <w:pPr>
                    <w:jc w:val="center"/>
                    <w:rPr>
                      <w:rFonts w:hint="eastAsia" w:ascii="Times New Roman"/>
                      <w:b/>
                      <w:bCs/>
                    </w:rPr>
                  </w:pPr>
                  <w:r>
                    <w:rPr>
                      <w:rFonts w:ascii="Times New Roman"/>
                      <w:b/>
                      <w:bCs/>
                    </w:rPr>
                    <w:t>课堂教学</w:t>
                  </w:r>
                </w:p>
                <w:p>
                  <w:pPr>
                    <w:jc w:val="center"/>
                  </w:pPr>
                  <w:r>
                    <w:rPr>
                      <w:rFonts w:hint="eastAsia" w:ascii="Times New Roman"/>
                      <w:b/>
                      <w:bCs/>
                    </w:rPr>
                    <w:t>Lecture</w:t>
                  </w:r>
                </w:p>
              </w:tc>
              <w:tc>
                <w:tcPr>
                  <w:tcW w:w="1408" w:type="dxa"/>
                  <w:vAlign w:val="center"/>
                </w:tcPr>
                <w:p>
                  <w:pPr>
                    <w:jc w:val="left"/>
                    <w:rPr>
                      <w:b/>
                    </w:rPr>
                  </w:pPr>
                  <w:r>
                    <w:rPr>
                      <w:rFonts w:hint="eastAsia"/>
                    </w:rPr>
                    <w:t>完成课后阅读材料并回答相关思考问题；准备团组大作业 Read materials and answer questions; Prepare for group work</w:t>
                  </w:r>
                </w:p>
              </w:tc>
              <w:tc>
                <w:tcPr>
                  <w:tcW w:w="1520" w:type="dxa"/>
                  <w:vAlign w:val="center"/>
                </w:tcPr>
                <w:p>
                  <w:pPr>
                    <w:jc w:val="left"/>
                  </w:pPr>
                  <w:r>
                    <w:rPr>
                      <w:rFonts w:hint="eastAsia"/>
                    </w:rPr>
                    <w:t xml:space="preserve">对所阅读的材料能进行基本分析、评论 </w:t>
                  </w:r>
                  <w:r>
                    <w:t xml:space="preserve">Basic analysis and comment </w:t>
                  </w:r>
                  <w:r>
                    <w:rPr>
                      <w:rFonts w:hint="eastAsia"/>
                    </w:rPr>
                    <w:t>concerning</w:t>
                  </w:r>
                  <w:r>
                    <w:t xml:space="preserve"> the materials</w:t>
                  </w:r>
                </w:p>
              </w:tc>
              <w:tc>
                <w:tcPr>
                  <w:tcW w:w="1711" w:type="dxa"/>
                </w:tcPr>
                <w:p>
                  <w:r>
                    <w:rPr>
                      <w:rFonts w:hint="eastAsia"/>
                    </w:rPr>
                    <w:t>课堂讨论 Class 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67" w:type="dxa"/>
                  <w:vAlign w:val="center"/>
                </w:tcPr>
                <w:p>
                  <w:pPr>
                    <w:jc w:val="center"/>
                  </w:pPr>
                  <w:r>
                    <w:rPr>
                      <w:rFonts w:ascii="Times New Roman" w:hAnsi="Times New Roman"/>
                    </w:rPr>
                    <w:t>VI.</w:t>
                  </w:r>
                  <w:r>
                    <w:rPr>
                      <w:rFonts w:ascii="Times New Roman"/>
                    </w:rPr>
                    <w:t>启蒙运动</w:t>
                  </w:r>
                  <w:r>
                    <w:rPr>
                      <w:rFonts w:hint="eastAsia" w:ascii="Times New Roman"/>
                    </w:rPr>
                    <w:t xml:space="preserve"> </w:t>
                  </w:r>
                  <w:r>
                    <w:t>Enlightenment</w:t>
                  </w:r>
                  <w:r>
                    <w:rPr>
                      <w:rFonts w:hint="eastAsia"/>
                    </w:rPr>
                    <w:t xml:space="preserve"> Movement</w:t>
                  </w:r>
                </w:p>
              </w:tc>
              <w:tc>
                <w:tcPr>
                  <w:tcW w:w="699" w:type="dxa"/>
                  <w:vAlign w:val="center"/>
                </w:tcPr>
                <w:p>
                  <w:pPr>
                    <w:jc w:val="center"/>
                  </w:pPr>
                  <w:r>
                    <w:rPr>
                      <w:rFonts w:hint="eastAsia"/>
                    </w:rPr>
                    <w:t>4</w:t>
                  </w:r>
                </w:p>
              </w:tc>
              <w:tc>
                <w:tcPr>
                  <w:tcW w:w="1049" w:type="dxa"/>
                  <w:vAlign w:val="center"/>
                </w:tcPr>
                <w:p>
                  <w:pPr>
                    <w:jc w:val="center"/>
                    <w:rPr>
                      <w:rFonts w:hint="eastAsia" w:ascii="Times New Roman"/>
                      <w:b/>
                      <w:bCs/>
                    </w:rPr>
                  </w:pPr>
                  <w:r>
                    <w:rPr>
                      <w:rFonts w:ascii="Times New Roman"/>
                      <w:b/>
                      <w:bCs/>
                    </w:rPr>
                    <w:t>课堂教学</w:t>
                  </w:r>
                </w:p>
                <w:p>
                  <w:pPr>
                    <w:jc w:val="center"/>
                  </w:pPr>
                  <w:r>
                    <w:rPr>
                      <w:rFonts w:hint="eastAsia" w:ascii="Times New Roman"/>
                      <w:b/>
                      <w:bCs/>
                    </w:rPr>
                    <w:t>Lecture</w:t>
                  </w:r>
                </w:p>
              </w:tc>
              <w:tc>
                <w:tcPr>
                  <w:tcW w:w="1408" w:type="dxa"/>
                  <w:vAlign w:val="center"/>
                </w:tcPr>
                <w:p>
                  <w:pPr>
                    <w:jc w:val="left"/>
                  </w:pPr>
                  <w:r>
                    <w:rPr>
                      <w:rFonts w:hint="eastAsia"/>
                    </w:rPr>
                    <w:t>完成课后阅读材料并回答相关思考问题；准备团组大作业 Read materials and answer questions; Prepare for group work</w:t>
                  </w:r>
                </w:p>
              </w:tc>
              <w:tc>
                <w:tcPr>
                  <w:tcW w:w="1520" w:type="dxa"/>
                  <w:vAlign w:val="center"/>
                </w:tcPr>
                <w:p>
                  <w:pPr>
                    <w:jc w:val="left"/>
                  </w:pPr>
                  <w:r>
                    <w:rPr>
                      <w:rFonts w:hint="eastAsia"/>
                    </w:rPr>
                    <w:t xml:space="preserve">对所阅读的材料能进行基本分析、评论 </w:t>
                  </w:r>
                  <w:r>
                    <w:t xml:space="preserve">Basic analysis and comment </w:t>
                  </w:r>
                  <w:r>
                    <w:rPr>
                      <w:rFonts w:hint="eastAsia"/>
                    </w:rPr>
                    <w:t>concerning</w:t>
                  </w:r>
                  <w:r>
                    <w:t xml:space="preserve"> the materials</w:t>
                  </w:r>
                </w:p>
              </w:tc>
              <w:tc>
                <w:tcPr>
                  <w:tcW w:w="1711" w:type="dxa"/>
                </w:tcPr>
                <w:p>
                  <w:r>
                    <w:rPr>
                      <w:rFonts w:hint="eastAsia"/>
                    </w:rPr>
                    <w:t>课堂讨论 Class 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67" w:type="dxa"/>
                  <w:vAlign w:val="center"/>
                </w:tcPr>
                <w:p>
                  <w:pPr>
                    <w:jc w:val="left"/>
                  </w:pPr>
                  <w:r>
                    <w:rPr>
                      <w:rFonts w:ascii="Times New Roman" w:hAnsi="Times New Roman"/>
                    </w:rPr>
                    <w:t xml:space="preserve">VII. </w:t>
                  </w:r>
                  <w:r>
                    <w:rPr>
                      <w:rFonts w:ascii="Times New Roman"/>
                    </w:rPr>
                    <w:t>浪漫主义</w:t>
                  </w:r>
                  <w:r>
                    <w:rPr>
                      <w:rFonts w:hint="eastAsia" w:ascii="Times New Roman"/>
                    </w:rPr>
                    <w:t xml:space="preserve"> R</w:t>
                  </w:r>
                  <w:r>
                    <w:rPr>
                      <w:rFonts w:ascii="Times New Roman"/>
                    </w:rPr>
                    <w:t>omanticism</w:t>
                  </w:r>
                </w:p>
              </w:tc>
              <w:tc>
                <w:tcPr>
                  <w:tcW w:w="699" w:type="dxa"/>
                  <w:vAlign w:val="center"/>
                </w:tcPr>
                <w:p>
                  <w:pPr>
                    <w:jc w:val="center"/>
                  </w:pPr>
                  <w:r>
                    <w:rPr>
                      <w:rFonts w:hint="eastAsia"/>
                    </w:rPr>
                    <w:t>2</w:t>
                  </w:r>
                </w:p>
              </w:tc>
              <w:tc>
                <w:tcPr>
                  <w:tcW w:w="1049" w:type="dxa"/>
                  <w:vAlign w:val="center"/>
                </w:tcPr>
                <w:p>
                  <w:pPr>
                    <w:jc w:val="center"/>
                    <w:rPr>
                      <w:rFonts w:hint="eastAsia" w:ascii="Times New Roman"/>
                      <w:b/>
                      <w:bCs/>
                    </w:rPr>
                  </w:pPr>
                  <w:r>
                    <w:rPr>
                      <w:rFonts w:ascii="Times New Roman"/>
                      <w:b/>
                      <w:bCs/>
                    </w:rPr>
                    <w:t>课堂教学</w:t>
                  </w:r>
                </w:p>
                <w:p>
                  <w:pPr>
                    <w:jc w:val="center"/>
                  </w:pPr>
                  <w:r>
                    <w:rPr>
                      <w:rFonts w:hint="eastAsia" w:ascii="Times New Roman"/>
                      <w:b/>
                      <w:bCs/>
                    </w:rPr>
                    <w:t>Lecture</w:t>
                  </w:r>
                </w:p>
              </w:tc>
              <w:tc>
                <w:tcPr>
                  <w:tcW w:w="1408" w:type="dxa"/>
                  <w:vAlign w:val="center"/>
                </w:tcPr>
                <w:p>
                  <w:pPr>
                    <w:jc w:val="left"/>
                  </w:pPr>
                  <w:r>
                    <w:rPr>
                      <w:rFonts w:hint="eastAsia"/>
                    </w:rPr>
                    <w:t>课程回顾 Class Review</w:t>
                  </w:r>
                </w:p>
              </w:tc>
              <w:tc>
                <w:tcPr>
                  <w:tcW w:w="1520" w:type="dxa"/>
                  <w:vAlign w:val="center"/>
                </w:tcPr>
                <w:p>
                  <w:pPr>
                    <w:jc w:val="left"/>
                  </w:pPr>
                  <w:r>
                    <w:rPr>
                      <w:rFonts w:hint="eastAsia"/>
                    </w:rPr>
                    <w:t>对欧洲文化发展进程有较为全面、清晰的了解 To have a</w:t>
                  </w:r>
                  <w:r>
                    <w:t xml:space="preserve"> more comprehensive and clear understanding of the process of European cultural development</w:t>
                  </w:r>
                </w:p>
              </w:tc>
              <w:tc>
                <w:tcPr>
                  <w:tcW w:w="1711" w:type="dxa"/>
                </w:tcPr>
                <w:p>
                  <w:r>
                    <w:rPr>
                      <w:rFonts w:hint="eastAsia"/>
                    </w:rPr>
                    <w:t>提交课程学期论文 Term Paper</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67" w:type="dxa"/>
                  <w:vAlign w:val="center"/>
                </w:tcPr>
                <w:p>
                  <w:pPr>
                    <w:spacing w:line="0" w:lineRule="atLeast"/>
                  </w:pPr>
                </w:p>
              </w:tc>
              <w:tc>
                <w:tcPr>
                  <w:tcW w:w="699" w:type="dxa"/>
                  <w:vAlign w:val="center"/>
                </w:tcPr>
                <w:p>
                  <w:pPr>
                    <w:jc w:val="center"/>
                  </w:pPr>
                </w:p>
              </w:tc>
              <w:tc>
                <w:tcPr>
                  <w:tcW w:w="1049" w:type="dxa"/>
                  <w:vAlign w:val="center"/>
                </w:tcPr>
                <w:p>
                  <w:pPr>
                    <w:jc w:val="center"/>
                  </w:pPr>
                </w:p>
              </w:tc>
              <w:tc>
                <w:tcPr>
                  <w:tcW w:w="1408" w:type="dxa"/>
                  <w:vAlign w:val="center"/>
                </w:tcPr>
                <w:p>
                  <w:pPr>
                    <w:jc w:val="left"/>
                  </w:pPr>
                </w:p>
              </w:tc>
              <w:tc>
                <w:tcPr>
                  <w:tcW w:w="1520" w:type="dxa"/>
                  <w:vAlign w:val="center"/>
                </w:tcPr>
                <w:p>
                  <w:pPr>
                    <w:jc w:val="left"/>
                  </w:pPr>
                </w:p>
              </w:tc>
              <w:tc>
                <w:tcPr>
                  <w:tcW w:w="1711" w:type="dxa"/>
                </w:tc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left"/>
                  </w:pPr>
                </w:p>
              </w:tc>
              <w:tc>
                <w:tcPr>
                  <w:tcW w:w="1520" w:type="dxa"/>
                  <w:vAlign w:val="center"/>
                </w:tcPr>
                <w:p>
                  <w:pPr>
                    <w:jc w:val="left"/>
                  </w:pPr>
                </w:p>
              </w:tc>
              <w:tc>
                <w:tcPr>
                  <w:tcW w:w="1711" w:type="dxa"/>
                </w:tc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67" w:type="dxa"/>
                  <w:vAlign w:val="center"/>
                </w:tcPr>
                <w:p>
                  <w:pPr>
                    <w:jc w:val="center"/>
                  </w:pP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67" w:type="dxa"/>
                  <w:vAlign w:val="center"/>
                </w:tcPr>
                <w:p>
                  <w:pPr>
                    <w:jc w:val="center"/>
                  </w:pPr>
                  <w:r>
                    <w:t>……</w:t>
                  </w:r>
                </w:p>
              </w:tc>
              <w:tc>
                <w:tcPr>
                  <w:tcW w:w="699" w:type="dxa"/>
                  <w:vAlign w:val="center"/>
                </w:tcPr>
                <w:p>
                  <w:pPr>
                    <w:jc w:val="center"/>
                  </w:pPr>
                </w:p>
              </w:tc>
              <w:tc>
                <w:tcPr>
                  <w:tcW w:w="1049" w:type="dxa"/>
                  <w:vAlign w:val="center"/>
                </w:tcPr>
                <w:p>
                  <w:pPr>
                    <w:jc w:val="center"/>
                  </w:pPr>
                </w:p>
              </w:tc>
              <w:tc>
                <w:tcPr>
                  <w:tcW w:w="1408" w:type="dxa"/>
                  <w:vAlign w:val="center"/>
                </w:tcPr>
                <w:p>
                  <w:pPr>
                    <w:jc w:val="center"/>
                  </w:pPr>
                </w:p>
              </w:tc>
              <w:tc>
                <w:tcPr>
                  <w:tcW w:w="1520" w:type="dxa"/>
                  <w:vAlign w:val="center"/>
                </w:tcPr>
                <w:p>
                  <w:pPr>
                    <w:jc w:val="center"/>
                  </w:pPr>
                </w:p>
              </w:tc>
              <w:tc>
                <w:tcPr>
                  <w:tcW w:w="1711"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769" w:type="dxa"/>
            <w:vAlign w:val="center"/>
          </w:tcPr>
          <w:p>
            <w:pPr>
              <w:jc w:val="center"/>
            </w:pPr>
            <w:r>
              <w:rPr>
                <w:rFonts w:hint="eastAsia"/>
                <w:color w:val="C00000"/>
              </w:rPr>
              <w:t>*</w:t>
            </w:r>
            <w:r>
              <w:rPr>
                <w:rFonts w:hint="eastAsia"/>
              </w:rPr>
              <w:t>考核方式 (Grading)</w:t>
            </w:r>
          </w:p>
        </w:tc>
        <w:tc>
          <w:tcPr>
            <w:tcW w:w="8155" w:type="dxa"/>
            <w:gridSpan w:val="7"/>
            <w:vAlign w:val="center"/>
          </w:tcPr>
          <w:p>
            <w:pPr>
              <w:jc w:val="left"/>
              <w:rPr>
                <w:color w:val="000000" w:themeColor="text1"/>
              </w:rPr>
            </w:pPr>
            <w:r>
              <w:rPr>
                <w:rFonts w:hint="eastAsia"/>
                <w:color w:val="000000" w:themeColor="text1"/>
              </w:rPr>
              <w:t>最终成绩由课堂表现、平时作业、团组大作业、论文成绩组合而成。各部分所占比例如下：</w:t>
            </w:r>
          </w:p>
          <w:p>
            <w:pPr>
              <w:pStyle w:val="12"/>
              <w:numPr>
                <w:ilvl w:val="0"/>
                <w:numId w:val="2"/>
              </w:numPr>
              <w:ind w:firstLineChars="0"/>
              <w:jc w:val="left"/>
              <w:rPr>
                <w:color w:val="000000" w:themeColor="text1"/>
              </w:rPr>
            </w:pPr>
            <w:r>
              <w:rPr>
                <w:rFonts w:hint="eastAsia"/>
                <w:color w:val="000000" w:themeColor="text1"/>
              </w:rPr>
              <w:t>课堂表现、平时作业：30%。主要考核课堂参与程度，对文本理解能力、分析问题能力以及阶段性课堂测验表现；</w:t>
            </w:r>
          </w:p>
          <w:p>
            <w:pPr>
              <w:pStyle w:val="12"/>
              <w:numPr>
                <w:ilvl w:val="0"/>
                <w:numId w:val="2"/>
              </w:numPr>
              <w:ind w:firstLineChars="0"/>
              <w:jc w:val="left"/>
              <w:rPr>
                <w:color w:val="000000" w:themeColor="text1"/>
              </w:rPr>
            </w:pPr>
            <w:r>
              <w:rPr>
                <w:rFonts w:hint="eastAsia"/>
                <w:color w:val="000000" w:themeColor="text1"/>
              </w:rPr>
              <w:t>团组大作业及报告讨论：20%。主要通过PPT展示，考核学生团队合作、资料整理、独立分析问题和陈述表达等方面的能力；</w:t>
            </w:r>
          </w:p>
          <w:p>
            <w:pPr>
              <w:jc w:val="left"/>
              <w:rPr>
                <w:rFonts w:hint="eastAsia"/>
                <w:color w:val="000000" w:themeColor="text1"/>
              </w:rPr>
            </w:pPr>
            <w:r>
              <w:rPr>
                <w:rFonts w:hint="eastAsia"/>
                <w:color w:val="000000" w:themeColor="text1"/>
              </w:rPr>
              <w:t>学期论文占50%。</w:t>
            </w:r>
          </w:p>
          <w:p>
            <w:pPr>
              <w:jc w:val="left"/>
              <w:rPr>
                <w:rFonts w:hint="eastAsia"/>
                <w:color w:val="000000" w:themeColor="text1"/>
              </w:rPr>
            </w:pPr>
          </w:p>
          <w:p>
            <w:pPr>
              <w:jc w:val="left"/>
            </w:pPr>
            <w:r>
              <w:t>The final score is composed of classroom performance, homework, group work, and paper results. The proportion</w:t>
            </w:r>
            <w:r>
              <w:rPr>
                <w:rFonts w:hint="eastAsia"/>
              </w:rPr>
              <w:t>s</w:t>
            </w:r>
            <w:r>
              <w:t xml:space="preserve"> of each part </w:t>
            </w:r>
            <w:r>
              <w:rPr>
                <w:rFonts w:hint="eastAsia"/>
              </w:rPr>
              <w:t>are</w:t>
            </w:r>
            <w:r>
              <w:t xml:space="preserve"> as follows:</w:t>
            </w:r>
          </w:p>
          <w:p>
            <w:pPr>
              <w:pStyle w:val="12"/>
              <w:numPr>
                <w:ilvl w:val="0"/>
                <w:numId w:val="3"/>
              </w:numPr>
              <w:ind w:firstLineChars="0"/>
              <w:jc w:val="left"/>
              <w:rPr>
                <w:rFonts w:hint="eastAsia"/>
              </w:rPr>
            </w:pPr>
            <w:r>
              <w:t>Classroom performance</w:t>
            </w:r>
            <w:r>
              <w:rPr>
                <w:rFonts w:hint="eastAsia"/>
              </w:rPr>
              <w:t xml:space="preserve"> and </w:t>
            </w:r>
            <w:r>
              <w:t xml:space="preserve">homework: 30%. Mainly </w:t>
            </w:r>
            <w:r>
              <w:rPr>
                <w:rFonts w:hint="eastAsia"/>
              </w:rPr>
              <w:t xml:space="preserve">to </w:t>
            </w:r>
            <w:r>
              <w:t xml:space="preserve">assess participation in the classroom, the ability to understand the text, the ability to analyze problems, and the performance of the </w:t>
            </w:r>
            <w:r>
              <w:rPr>
                <w:rFonts w:hint="eastAsia"/>
              </w:rPr>
              <w:t>mid-term</w:t>
            </w:r>
            <w:r>
              <w:t xml:space="preserve"> test;</w:t>
            </w:r>
          </w:p>
          <w:p>
            <w:pPr>
              <w:pStyle w:val="12"/>
              <w:numPr>
                <w:ilvl w:val="0"/>
                <w:numId w:val="3"/>
              </w:numPr>
              <w:ind w:firstLineChars="0"/>
              <w:jc w:val="left"/>
              <w:rPr>
                <w:rFonts w:hint="eastAsia"/>
              </w:rPr>
            </w:pPr>
            <w:r>
              <w:rPr>
                <w:rFonts w:hint="eastAsia"/>
              </w:rPr>
              <w:t>Group work</w:t>
            </w:r>
            <w:r>
              <w:t xml:space="preserve"> and report discussion: 20%. Mainly through PPT </w:t>
            </w:r>
            <w:r>
              <w:rPr>
                <w:rFonts w:hint="eastAsia"/>
              </w:rPr>
              <w:t>presentation</w:t>
            </w:r>
            <w:r>
              <w:t xml:space="preserve">, </w:t>
            </w:r>
            <w:r>
              <w:rPr>
                <w:rFonts w:hint="eastAsia"/>
              </w:rPr>
              <w:t xml:space="preserve">to </w:t>
            </w:r>
            <w:r>
              <w:t xml:space="preserve">assess students' ability </w:t>
            </w:r>
            <w:r>
              <w:rPr>
                <w:rFonts w:hint="eastAsia"/>
              </w:rPr>
              <w:t>of</w:t>
            </w:r>
            <w:r>
              <w:t xml:space="preserve"> teamwork, data collation, independent analysis of problems and presentations</w:t>
            </w:r>
            <w:r>
              <w:rPr>
                <w:rFonts w:hint="eastAsia"/>
              </w:rPr>
              <w:t>, etc</w:t>
            </w:r>
            <w:r>
              <w:t>;</w:t>
            </w:r>
          </w:p>
          <w:p>
            <w:pPr>
              <w:pStyle w:val="12"/>
              <w:numPr>
                <w:ilvl w:val="0"/>
                <w:numId w:val="3"/>
              </w:numPr>
              <w:ind w:firstLineChars="0"/>
              <w:jc w:val="left"/>
            </w:pPr>
            <w:r>
              <w:rPr>
                <w:rFonts w:hint="eastAsia"/>
              </w:rPr>
              <w:t>Result of term paper accounts for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769" w:type="dxa"/>
            <w:vAlign w:val="center"/>
          </w:tcPr>
          <w:p>
            <w:pPr>
              <w:jc w:val="center"/>
            </w:pPr>
            <w:r>
              <w:rPr>
                <w:rFonts w:hint="eastAsia"/>
                <w:color w:val="C00000"/>
              </w:rPr>
              <w:t>*</w:t>
            </w:r>
            <w:r>
              <w:rPr>
                <w:rFonts w:hint="eastAsia"/>
              </w:rPr>
              <w:t>教材或参考资料(Textbooks &amp; Other Materials)</w:t>
            </w:r>
          </w:p>
        </w:tc>
        <w:tc>
          <w:tcPr>
            <w:tcW w:w="8155" w:type="dxa"/>
            <w:gridSpan w:val="7"/>
            <w:vAlign w:val="center"/>
          </w:tcPr>
          <w:p>
            <w:pPr>
              <w:pStyle w:val="2"/>
              <w:ind w:firstLine="0" w:firstLineChars="0"/>
              <w:rPr>
                <w:rFonts w:ascii="宋体" w:hAnsi="宋体" w:cs="Symeteo"/>
                <w:b/>
                <w:bCs/>
                <w:sz w:val="24"/>
              </w:rPr>
            </w:pPr>
            <w:r>
              <w:rPr>
                <w:rFonts w:hint="eastAsia" w:ascii="宋体" w:hAnsi="宋体" w:cs="Symeteo"/>
                <w:b/>
                <w:bCs/>
                <w:sz w:val="24"/>
              </w:rPr>
              <w:t>教材：</w:t>
            </w:r>
          </w:p>
          <w:p>
            <w:pPr>
              <w:pStyle w:val="2"/>
              <w:ind w:firstLine="0" w:firstLineChars="0"/>
              <w:rPr>
                <w:rFonts w:ascii="宋体" w:hAnsi="宋体" w:cs="Symeteo"/>
                <w:bCs/>
                <w:szCs w:val="21"/>
              </w:rPr>
            </w:pPr>
            <w:r>
              <w:rPr>
                <w:bCs/>
                <w:color w:val="000000"/>
                <w:kern w:val="36"/>
                <w:szCs w:val="21"/>
              </w:rPr>
              <w:t>欧洲文化入</w:t>
            </w:r>
            <w:r>
              <w:rPr>
                <w:rFonts w:hint="eastAsia"/>
                <w:bCs/>
                <w:color w:val="000000"/>
                <w:kern w:val="36"/>
                <w:szCs w:val="21"/>
              </w:rPr>
              <w:t>门</w:t>
            </w:r>
            <w:r>
              <w:rPr>
                <w:rFonts w:hint="eastAsia" w:ascii="宋体" w:hAnsi="宋体" w:cs="Symeteo"/>
                <w:bCs/>
                <w:szCs w:val="21"/>
              </w:rPr>
              <w:t>（European Culture: an Introduction</w:t>
            </w:r>
            <w:r>
              <w:rPr>
                <w:rFonts w:ascii="宋体" w:hAnsi="宋体" w:cs="Symeteo"/>
                <w:bCs/>
                <w:szCs w:val="21"/>
              </w:rPr>
              <w:t>）</w:t>
            </w:r>
            <w:r>
              <w:rPr>
                <w:rFonts w:hint="eastAsia" w:ascii="宋体" w:hAnsi="宋体" w:cs="Symeteo"/>
                <w:bCs/>
                <w:szCs w:val="21"/>
              </w:rPr>
              <w:t>，王佐良等，外语教学与研究出版社（</w:t>
            </w:r>
            <w:r>
              <w:rPr>
                <w:rFonts w:ascii="宋体" w:hAnsi="宋体" w:cs="Symeteo"/>
                <w:bCs/>
                <w:szCs w:val="21"/>
              </w:rPr>
              <w:t>Foreign Language Teaching and Researching Press</w:t>
            </w:r>
            <w:r>
              <w:rPr>
                <w:rFonts w:hint="eastAsia" w:ascii="宋体" w:hAnsi="宋体" w:cs="Symeteo"/>
                <w:bCs/>
                <w:szCs w:val="21"/>
              </w:rPr>
              <w:t>），2004。</w:t>
            </w:r>
          </w:p>
          <w:p>
            <w:pPr>
              <w:pStyle w:val="2"/>
              <w:ind w:firstLine="0" w:firstLineChars="0"/>
              <w:rPr>
                <w:rFonts w:ascii="宋体" w:hAnsi="宋体" w:cs="Symeteo"/>
                <w:b/>
                <w:bCs/>
                <w:sz w:val="24"/>
              </w:rPr>
            </w:pPr>
            <w:r>
              <w:rPr>
                <w:rFonts w:hint="eastAsia" w:ascii="宋体" w:hAnsi="宋体" w:cs="Symeteo"/>
                <w:b/>
                <w:bCs/>
                <w:sz w:val="24"/>
              </w:rPr>
              <w:t>参考书目：</w:t>
            </w:r>
          </w:p>
          <w:p>
            <w:pPr>
              <w:pStyle w:val="2"/>
              <w:numPr>
                <w:ilvl w:val="0"/>
                <w:numId w:val="4"/>
              </w:numPr>
              <w:ind w:firstLineChars="0"/>
              <w:rPr>
                <w:rFonts w:ascii="宋体" w:hAnsi="宋体" w:cs="Symeteo"/>
                <w:bCs/>
                <w:szCs w:val="21"/>
              </w:rPr>
            </w:pPr>
            <w:r>
              <w:rPr>
                <w:rFonts w:hint="eastAsia" w:ascii="宋体" w:hAnsi="宋体" w:cs="Symeteo"/>
                <w:bCs/>
                <w:szCs w:val="21"/>
              </w:rPr>
              <w:t>西方文化史（第2版）(</w:t>
            </w:r>
            <w:r>
              <w:rPr>
                <w:rFonts w:ascii="宋体" w:hAnsi="宋体" w:cs="Symeteo"/>
                <w:bCs/>
                <w:szCs w:val="21"/>
              </w:rPr>
              <w:t>Western cultural history</w:t>
            </w:r>
            <w:r>
              <w:rPr>
                <w:rFonts w:hint="eastAsia" w:ascii="宋体" w:hAnsi="宋体" w:cs="Symeteo"/>
                <w:bCs/>
                <w:szCs w:val="21"/>
              </w:rPr>
              <w:t xml:space="preserve"> 2</w:t>
            </w:r>
            <w:r>
              <w:rPr>
                <w:rFonts w:hint="eastAsia" w:ascii="宋体" w:hAnsi="宋体" w:cs="Symeteo"/>
                <w:bCs/>
                <w:szCs w:val="21"/>
                <w:vertAlign w:val="superscript"/>
              </w:rPr>
              <w:t>nd</w:t>
            </w:r>
            <w:r>
              <w:rPr>
                <w:rFonts w:hint="eastAsia" w:ascii="宋体" w:hAnsi="宋体" w:cs="Symeteo"/>
                <w:bCs/>
                <w:szCs w:val="21"/>
              </w:rPr>
              <w:t xml:space="preserve"> edition)，沈之兴、张幼香主编，中山大学出版社（</w:t>
            </w:r>
            <w:r>
              <w:rPr>
                <w:rFonts w:ascii="宋体" w:hAnsi="宋体" w:cs="Symeteo"/>
                <w:bCs/>
                <w:szCs w:val="21"/>
              </w:rPr>
              <w:t>Zhongshan University Press</w:t>
            </w:r>
            <w:r>
              <w:rPr>
                <w:rFonts w:hint="eastAsia" w:ascii="宋体" w:hAnsi="宋体" w:cs="Symeteo"/>
                <w:bCs/>
                <w:szCs w:val="21"/>
              </w:rPr>
              <w:t>），1997。</w:t>
            </w:r>
          </w:p>
          <w:p>
            <w:pPr>
              <w:pStyle w:val="12"/>
              <w:numPr>
                <w:ilvl w:val="0"/>
                <w:numId w:val="4"/>
              </w:numPr>
              <w:ind w:firstLineChars="0"/>
              <w:jc w:val="left"/>
              <w:rPr>
                <w:color w:val="00B050"/>
              </w:rPr>
            </w:pPr>
            <w:r>
              <w:rPr>
                <w:rFonts w:hint="eastAsia"/>
                <w:bCs/>
                <w:color w:val="000000"/>
                <w:kern w:val="36"/>
                <w:szCs w:val="21"/>
              </w:rPr>
              <w:t>欧洲文化概况 （</w:t>
            </w:r>
            <w:r>
              <w:rPr>
                <w:rFonts w:ascii="宋体" w:hAnsi="宋体" w:cs="Symeteo"/>
                <w:bCs/>
                <w:szCs w:val="21"/>
              </w:rPr>
              <w:t>Survey of European Culture</w:t>
            </w:r>
            <w:r>
              <w:rPr>
                <w:rFonts w:hint="eastAsia" w:ascii="宋体" w:hAnsi="宋体" w:cs="Symeteo"/>
                <w:bCs/>
                <w:szCs w:val="21"/>
              </w:rPr>
              <w:t>）</w:t>
            </w:r>
            <w:r>
              <w:rPr>
                <w:bCs/>
                <w:color w:val="000000"/>
                <w:kern w:val="36"/>
                <w:szCs w:val="21"/>
              </w:rPr>
              <w:t xml:space="preserve"> Duncan Sidwell</w:t>
            </w:r>
            <w:r>
              <w:rPr>
                <w:rFonts w:hint="eastAsia"/>
                <w:bCs/>
                <w:color w:val="000000"/>
                <w:kern w:val="36"/>
                <w:szCs w:val="21"/>
              </w:rPr>
              <w:t>著，</w:t>
            </w:r>
            <w:r>
              <w:rPr>
                <w:bCs/>
                <w:color w:val="000000"/>
                <w:kern w:val="36"/>
                <w:szCs w:val="21"/>
              </w:rPr>
              <w:t>外语教学与研究出版社</w:t>
            </w:r>
            <w:r>
              <w:rPr>
                <w:rFonts w:hint="eastAsia"/>
                <w:bCs/>
                <w:color w:val="000000"/>
                <w:kern w:val="36"/>
                <w:szCs w:val="21"/>
              </w:rPr>
              <w:t>（</w:t>
            </w:r>
            <w:r>
              <w:rPr>
                <w:bCs/>
                <w:color w:val="000000"/>
                <w:kern w:val="36"/>
                <w:szCs w:val="21"/>
              </w:rPr>
              <w:t>Foreign Language Teaching and Researching Press</w:t>
            </w:r>
            <w:r>
              <w:rPr>
                <w:rFonts w:hint="eastAsia"/>
                <w:bCs/>
                <w:color w:val="000000"/>
                <w:kern w:val="36"/>
                <w:szCs w:val="21"/>
              </w:rPr>
              <w:t>），</w:t>
            </w:r>
            <w:r>
              <w:rPr>
                <w:bCs/>
                <w:color w:val="000000"/>
                <w:kern w:val="36"/>
                <w:szCs w:val="21"/>
              </w:rPr>
              <w:t>2008年</w:t>
            </w:r>
            <w:r>
              <w:rPr>
                <w:rFonts w:hint="eastAsia"/>
                <w:bCs/>
                <w:color w:val="000000"/>
                <w:kern w:val="36"/>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769" w:type="dxa"/>
            <w:vAlign w:val="center"/>
          </w:tcPr>
          <w:p>
            <w:pPr>
              <w:jc w:val="center"/>
            </w:pPr>
            <w:r>
              <w:rPr>
                <w:rFonts w:hint="eastAsia"/>
              </w:rPr>
              <w:t>其它（More）</w:t>
            </w:r>
          </w:p>
        </w:tc>
        <w:tc>
          <w:tcPr>
            <w:tcW w:w="8155"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769" w:type="dxa"/>
            <w:vAlign w:val="center"/>
          </w:tcPr>
          <w:p>
            <w:pPr>
              <w:jc w:val="center"/>
            </w:pPr>
            <w:r>
              <w:rPr>
                <w:rFonts w:hint="eastAsia"/>
              </w:rPr>
              <w:t>备注（Notes）</w:t>
            </w:r>
          </w:p>
        </w:tc>
        <w:tc>
          <w:tcPr>
            <w:tcW w:w="8155"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5DFA"/>
    <w:multiLevelType w:val="multilevel"/>
    <w:tmpl w:val="02565DF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7970366"/>
    <w:multiLevelType w:val="multilevel"/>
    <w:tmpl w:val="279703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29753BD"/>
    <w:multiLevelType w:val="multilevel"/>
    <w:tmpl w:val="429753B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7FF4D64"/>
    <w:multiLevelType w:val="multilevel"/>
    <w:tmpl w:val="47FF4D64"/>
    <w:lvl w:ilvl="0" w:tentative="0">
      <w:start w:val="1"/>
      <w:numFmt w:val="bullet"/>
      <w:lvlText w:val=""/>
      <w:lvlJc w:val="left"/>
      <w:pPr>
        <w:ind w:left="510" w:hanging="420"/>
      </w:pPr>
      <w:rPr>
        <w:rFonts w:hint="default" w:ascii="Symbol" w:hAnsi="Symbol"/>
      </w:rPr>
    </w:lvl>
    <w:lvl w:ilvl="1" w:tentative="0">
      <w:start w:val="1"/>
      <w:numFmt w:val="bullet"/>
      <w:lvlText w:val=""/>
      <w:lvlJc w:val="left"/>
      <w:pPr>
        <w:ind w:left="930" w:hanging="420"/>
      </w:pPr>
      <w:rPr>
        <w:rFonts w:hint="default" w:ascii="Wingdings" w:hAnsi="Wingdings"/>
      </w:rPr>
    </w:lvl>
    <w:lvl w:ilvl="2" w:tentative="0">
      <w:start w:val="1"/>
      <w:numFmt w:val="bullet"/>
      <w:lvlText w:val=""/>
      <w:lvlJc w:val="left"/>
      <w:pPr>
        <w:ind w:left="1350" w:hanging="420"/>
      </w:pPr>
      <w:rPr>
        <w:rFonts w:hint="default" w:ascii="Wingdings" w:hAnsi="Wingdings"/>
      </w:rPr>
    </w:lvl>
    <w:lvl w:ilvl="3" w:tentative="0">
      <w:start w:val="1"/>
      <w:numFmt w:val="bullet"/>
      <w:lvlText w:val=""/>
      <w:lvlJc w:val="left"/>
      <w:pPr>
        <w:ind w:left="1770" w:hanging="420"/>
      </w:pPr>
      <w:rPr>
        <w:rFonts w:hint="default" w:ascii="Wingdings" w:hAnsi="Wingdings"/>
      </w:rPr>
    </w:lvl>
    <w:lvl w:ilvl="4" w:tentative="0">
      <w:start w:val="1"/>
      <w:numFmt w:val="bullet"/>
      <w:lvlText w:val=""/>
      <w:lvlJc w:val="left"/>
      <w:pPr>
        <w:ind w:left="2190" w:hanging="420"/>
      </w:pPr>
      <w:rPr>
        <w:rFonts w:hint="default" w:ascii="Wingdings" w:hAnsi="Wingdings"/>
      </w:rPr>
    </w:lvl>
    <w:lvl w:ilvl="5" w:tentative="0">
      <w:start w:val="1"/>
      <w:numFmt w:val="bullet"/>
      <w:lvlText w:val=""/>
      <w:lvlJc w:val="left"/>
      <w:pPr>
        <w:ind w:left="2610" w:hanging="420"/>
      </w:pPr>
      <w:rPr>
        <w:rFonts w:hint="default" w:ascii="Wingdings" w:hAnsi="Wingdings"/>
      </w:rPr>
    </w:lvl>
    <w:lvl w:ilvl="6" w:tentative="0">
      <w:start w:val="1"/>
      <w:numFmt w:val="bullet"/>
      <w:lvlText w:val=""/>
      <w:lvlJc w:val="left"/>
      <w:pPr>
        <w:ind w:left="3030" w:hanging="420"/>
      </w:pPr>
      <w:rPr>
        <w:rFonts w:hint="default" w:ascii="Wingdings" w:hAnsi="Wingdings"/>
      </w:rPr>
    </w:lvl>
    <w:lvl w:ilvl="7" w:tentative="0">
      <w:start w:val="1"/>
      <w:numFmt w:val="bullet"/>
      <w:lvlText w:val=""/>
      <w:lvlJc w:val="left"/>
      <w:pPr>
        <w:ind w:left="3450" w:hanging="420"/>
      </w:pPr>
      <w:rPr>
        <w:rFonts w:hint="default" w:ascii="Wingdings" w:hAnsi="Wingdings"/>
      </w:rPr>
    </w:lvl>
    <w:lvl w:ilvl="8" w:tentative="0">
      <w:start w:val="1"/>
      <w:numFmt w:val="bullet"/>
      <w:lvlText w:val=""/>
      <w:lvlJc w:val="left"/>
      <w:pPr>
        <w:ind w:left="387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009A"/>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235"/>
    <w:rsid w:val="002D4CDC"/>
    <w:rsid w:val="002F3739"/>
    <w:rsid w:val="003036D4"/>
    <w:rsid w:val="003237D3"/>
    <w:rsid w:val="00341CDD"/>
    <w:rsid w:val="00347960"/>
    <w:rsid w:val="00350C5D"/>
    <w:rsid w:val="00366702"/>
    <w:rsid w:val="003715C0"/>
    <w:rsid w:val="0037286C"/>
    <w:rsid w:val="00377008"/>
    <w:rsid w:val="003948E3"/>
    <w:rsid w:val="00395246"/>
    <w:rsid w:val="0039570D"/>
    <w:rsid w:val="003A47DC"/>
    <w:rsid w:val="003C4422"/>
    <w:rsid w:val="003D10F5"/>
    <w:rsid w:val="003D2213"/>
    <w:rsid w:val="003E65CC"/>
    <w:rsid w:val="00411605"/>
    <w:rsid w:val="00446816"/>
    <w:rsid w:val="00461685"/>
    <w:rsid w:val="00474457"/>
    <w:rsid w:val="00487AD7"/>
    <w:rsid w:val="004921CE"/>
    <w:rsid w:val="004A578D"/>
    <w:rsid w:val="004D4153"/>
    <w:rsid w:val="004D4785"/>
    <w:rsid w:val="004D62C4"/>
    <w:rsid w:val="004E283B"/>
    <w:rsid w:val="005031D5"/>
    <w:rsid w:val="00511D50"/>
    <w:rsid w:val="00520B0A"/>
    <w:rsid w:val="0053390E"/>
    <w:rsid w:val="00557AD3"/>
    <w:rsid w:val="00565461"/>
    <w:rsid w:val="00577467"/>
    <w:rsid w:val="00577ECF"/>
    <w:rsid w:val="005B52BE"/>
    <w:rsid w:val="005D7DEC"/>
    <w:rsid w:val="005F49AB"/>
    <w:rsid w:val="0061590F"/>
    <w:rsid w:val="006225E0"/>
    <w:rsid w:val="00625DD3"/>
    <w:rsid w:val="00647F8A"/>
    <w:rsid w:val="00656964"/>
    <w:rsid w:val="00663B60"/>
    <w:rsid w:val="00686943"/>
    <w:rsid w:val="006A13AE"/>
    <w:rsid w:val="006D3645"/>
    <w:rsid w:val="006F1849"/>
    <w:rsid w:val="006F49C1"/>
    <w:rsid w:val="006F4ED5"/>
    <w:rsid w:val="00705456"/>
    <w:rsid w:val="00707583"/>
    <w:rsid w:val="007252D6"/>
    <w:rsid w:val="0074127F"/>
    <w:rsid w:val="00784A11"/>
    <w:rsid w:val="00795F2D"/>
    <w:rsid w:val="007A19E1"/>
    <w:rsid w:val="007B376D"/>
    <w:rsid w:val="007D4099"/>
    <w:rsid w:val="007E05F7"/>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6507B"/>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27B1B"/>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A701F"/>
    <w:rsid w:val="00EB20C0"/>
    <w:rsid w:val="00EC1070"/>
    <w:rsid w:val="00EC4100"/>
    <w:rsid w:val="00ED2940"/>
    <w:rsid w:val="00ED30B5"/>
    <w:rsid w:val="00EF1EFB"/>
    <w:rsid w:val="00F262EB"/>
    <w:rsid w:val="00F46C0A"/>
    <w:rsid w:val="00F67475"/>
    <w:rsid w:val="00F746B7"/>
    <w:rsid w:val="00FC1AA0"/>
    <w:rsid w:val="00FC687D"/>
    <w:rsid w:val="00FE20EB"/>
    <w:rsid w:val="00FE3349"/>
    <w:rsid w:val="00FE4D40"/>
    <w:rsid w:val="00FF22DC"/>
    <w:rsid w:val="3EE75BA5"/>
    <w:rsid w:val="54AB7A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uiPriority w:val="0"/>
    <w:pPr>
      <w:ind w:firstLine="420" w:firstLineChars="200"/>
    </w:pPr>
    <w:rPr>
      <w:rFonts w:ascii="Times New Roman" w:hAnsi="Times New Roman" w:eastAsia="宋体" w:cs="Times New Roman"/>
      <w:szCs w:val="24"/>
    </w:rPr>
  </w:style>
  <w:style w:type="paragraph" w:styleId="3">
    <w:name w:val="Balloon Text"/>
    <w:basedOn w:val="1"/>
    <w:link w:val="14"/>
    <w:semiHidden/>
    <w:unhideWhenUsed/>
    <w:uiPriority w:val="99"/>
    <w:rPr>
      <w:sz w:val="18"/>
      <w:szCs w:val="18"/>
    </w:rPr>
  </w:style>
  <w:style w:type="paragraph" w:styleId="4">
    <w:name w:val="footer"/>
    <w:basedOn w:val="1"/>
    <w:link w:val="16"/>
    <w:unhideWhenUsed/>
    <w:uiPriority w:val="99"/>
    <w:pPr>
      <w:tabs>
        <w:tab w:val="center" w:pos="4153"/>
        <w:tab w:val="right" w:pos="8306"/>
      </w:tabs>
      <w:snapToGrid w:val="0"/>
      <w:jc w:val="left"/>
    </w:pPr>
    <w:rPr>
      <w:sz w:val="18"/>
      <w:szCs w:val="18"/>
    </w:rPr>
  </w:style>
  <w:style w:type="paragraph" w:styleId="5">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FollowedHyperlink"/>
    <w:basedOn w:val="6"/>
    <w:semiHidden/>
    <w:unhideWhenUsed/>
    <w:uiPriority w:val="99"/>
    <w:rPr>
      <w:color w:val="800080" w:themeColor="followedHyperlink"/>
      <w:u w:val="single"/>
    </w:rPr>
  </w:style>
  <w:style w:type="character" w:styleId="9">
    <w:name w:val="Hyperlink"/>
    <w:basedOn w:val="6"/>
    <w:unhideWhenUsed/>
    <w:uiPriority w:val="99"/>
    <w:rPr>
      <w:color w:val="0000FF"/>
      <w:u w:val="none"/>
    </w:rPr>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2">
    <w:name w:val="List Paragraph"/>
    <w:basedOn w:val="1"/>
    <w:qFormat/>
    <w:uiPriority w:val="34"/>
    <w:pPr>
      <w:ind w:firstLine="420" w:firstLineChars="200"/>
    </w:pPr>
  </w:style>
  <w:style w:type="paragraph" w:customStyle="1" w:styleId="13">
    <w:name w:val="样式2"/>
    <w:basedOn w:val="1"/>
    <w:uiPriority w:val="0"/>
    <w:rPr>
      <w:rFonts w:ascii="宋体" w:hAnsi="宋体" w:eastAsia="宋体" w:cs="Symeteo"/>
      <w:bCs/>
      <w:color w:val="FF0000"/>
      <w:sz w:val="24"/>
      <w:szCs w:val="24"/>
    </w:rPr>
  </w:style>
  <w:style w:type="character" w:customStyle="1" w:styleId="14">
    <w:name w:val="批注框文本 Char"/>
    <w:basedOn w:val="6"/>
    <w:link w:val="3"/>
    <w:semiHidden/>
    <w:uiPriority w:val="99"/>
    <w:rPr>
      <w:sz w:val="18"/>
      <w:szCs w:val="18"/>
    </w:rPr>
  </w:style>
  <w:style w:type="character" w:customStyle="1" w:styleId="15">
    <w:name w:val="页眉 Char"/>
    <w:basedOn w:val="6"/>
    <w:link w:val="5"/>
    <w:uiPriority w:val="99"/>
    <w:rPr>
      <w:sz w:val="18"/>
      <w:szCs w:val="18"/>
    </w:rPr>
  </w:style>
  <w:style w:type="character" w:customStyle="1" w:styleId="16">
    <w:name w:val="页脚 Char"/>
    <w:basedOn w:val="6"/>
    <w:link w:val="4"/>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802</Words>
  <Characters>4576</Characters>
  <Lines>38</Lines>
  <Paragraphs>10</Paragraphs>
  <TotalTime>85</TotalTime>
  <ScaleCrop>false</ScaleCrop>
  <LinksUpToDate>false</LinksUpToDate>
  <CharactersWithSpaces>5368</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2017-11-12T03:08:00Z</dcterms:created>
  <dc:creator>xiqiang yang</dc:creator>
  <cp:lastModifiedBy>丫丫</cp:lastModifiedBy>
  <cp:lastPrinted>2014-04-28T01:34:00Z</cp:lastPrinted>
  <dcterms:modified xsi:type="dcterms:W3CDTF">2018-12-12T03:01:42Z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2052-11.1.0.8013</vt:lpwstr>
  </property>
</Properties>
</file>