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hint="eastAsia"/>
          <w:b/>
          <w:sz w:val="32"/>
          <w:szCs w:val="32"/>
        </w:rPr>
      </w:pPr>
      <w:r>
        <w:rPr>
          <w:rFonts w:hint="eastAsia" w:asciiTheme="minorEastAsia" w:hAnsiTheme="minorEastAsia"/>
          <w:b/>
          <w:bCs/>
          <w:kern w:val="0"/>
          <w:sz w:val="32"/>
          <w:szCs w:val="32"/>
        </w:rPr>
        <w:t>莎士比亚戏剧赏析</w:t>
      </w:r>
      <w:r>
        <w:rPr>
          <w:rFonts w:hint="eastAsia"/>
          <w:b/>
          <w:sz w:val="32"/>
          <w:szCs w:val="32"/>
        </w:rPr>
        <w:t>课程教</w:t>
      </w:r>
      <w:bookmarkStart w:id="0" w:name="_GoBack"/>
      <w:bookmarkEnd w:id="0"/>
      <w:r>
        <w:rPr>
          <w:rFonts w:hint="eastAsia"/>
          <w:b/>
          <w:sz w:val="32"/>
          <w:szCs w:val="32"/>
        </w:rPr>
        <w:t>学大纲</w:t>
      </w:r>
    </w:p>
    <w:p>
      <w:pPr>
        <w:spacing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Selective Reading in Shakespeare</w:t>
      </w:r>
      <w:r>
        <w:rPr>
          <w:b/>
          <w:sz w:val="32"/>
          <w:szCs w:val="32"/>
        </w:rPr>
        <w:t>’</w:t>
      </w:r>
      <w:r>
        <w:rPr>
          <w:rFonts w:hint="eastAsia"/>
          <w:b/>
          <w:sz w:val="32"/>
          <w:szCs w:val="32"/>
        </w:rPr>
        <w:t>s Plays</w:t>
      </w:r>
    </w:p>
    <w:tbl>
      <w:tblPr>
        <w:tblStyle w:val="8"/>
        <w:tblW w:w="9924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265"/>
        <w:gridCol w:w="1515"/>
        <w:gridCol w:w="1150"/>
        <w:gridCol w:w="327"/>
        <w:gridCol w:w="933"/>
        <w:gridCol w:w="626"/>
        <w:gridCol w:w="1692"/>
        <w:gridCol w:w="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924" w:type="dxa"/>
            <w:gridSpan w:val="9"/>
            <w:shd w:val="clear" w:color="auto" w:fill="D9D9D9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课程基本信息（Course Information）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课程代码</w:t>
            </w:r>
          </w:p>
          <w:p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Code）</w:t>
            </w:r>
          </w:p>
        </w:tc>
        <w:tc>
          <w:tcPr>
            <w:tcW w:w="1265" w:type="dxa"/>
            <w:vAlign w:val="center"/>
          </w:tcPr>
          <w:p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EN904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</w:pPr>
            <w:r>
              <w:t>学时</w:t>
            </w:r>
          </w:p>
          <w:p>
            <w:pPr>
              <w:jc w:val="center"/>
              <w:rPr>
                <w:w w:val="90"/>
              </w:rPr>
            </w:pPr>
            <w:r>
              <w:rPr>
                <w:w w:val="90"/>
              </w:rPr>
              <w:t>（Credit</w:t>
            </w:r>
            <w:r>
              <w:rPr>
                <w:rFonts w:hint="eastAsia"/>
                <w:w w:val="90"/>
              </w:rPr>
              <w:t xml:space="preserve"> Hours</w:t>
            </w:r>
            <w:r>
              <w:rPr>
                <w:w w:val="90"/>
              </w:rPr>
              <w:t>）</w:t>
            </w:r>
          </w:p>
        </w:tc>
        <w:tc>
          <w:tcPr>
            <w:tcW w:w="147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t>学分</w:t>
            </w:r>
          </w:p>
          <w:p>
            <w:pPr>
              <w:jc w:val="center"/>
            </w:pPr>
            <w:r>
              <w:t>（Credits）</w:t>
            </w:r>
          </w:p>
        </w:tc>
        <w:tc>
          <w:tcPr>
            <w:tcW w:w="1703" w:type="dxa"/>
            <w:gridSpan w:val="2"/>
            <w:vAlign w:val="center"/>
          </w:tcPr>
          <w:p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405" w:type="dxa"/>
            <w:vMerge w:val="restart"/>
            <w:vAlign w:val="center"/>
          </w:tcPr>
          <w:p>
            <w:r>
              <w:t>课程名称</w:t>
            </w:r>
          </w:p>
          <w:p>
            <w:r>
              <w:t>（</w:t>
            </w:r>
            <w:r>
              <w:rPr>
                <w:rFonts w:hint="eastAsia"/>
              </w:rPr>
              <w:t>Course Name）</w:t>
            </w:r>
          </w:p>
        </w:tc>
        <w:tc>
          <w:tcPr>
            <w:tcW w:w="7519" w:type="dxa"/>
            <w:gridSpan w:val="8"/>
          </w:tcPr>
          <w:p>
            <w:pPr>
              <w:jc w:val="left"/>
            </w:pPr>
            <w:r>
              <w:rPr>
                <w:rFonts w:hint="eastAsia"/>
              </w:rPr>
              <w:t>（中文）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莎士比亚戏剧赏析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405" w:type="dxa"/>
            <w:vMerge w:val="continue"/>
          </w:tcPr>
          <w:p>
            <w:pPr>
              <w:jc w:val="left"/>
            </w:pPr>
          </w:p>
        </w:tc>
        <w:tc>
          <w:tcPr>
            <w:tcW w:w="7519" w:type="dxa"/>
            <w:gridSpan w:val="8"/>
          </w:tcPr>
          <w:p>
            <w:pPr>
              <w:jc w:val="left"/>
            </w:pPr>
            <w:r>
              <w:rPr>
                <w:rFonts w:hint="eastAsia"/>
              </w:rPr>
              <w:t>（英文）Selective Reading in Shakespeare</w:t>
            </w:r>
            <w:r>
              <w:t>’</w:t>
            </w:r>
            <w:r>
              <w:rPr>
                <w:rFonts w:hint="eastAsia"/>
              </w:rPr>
              <w:t>s Plays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4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课程属性</w:t>
            </w:r>
          </w:p>
          <w:p>
            <w:pPr>
              <w:jc w:val="center"/>
            </w:pPr>
            <w:r>
              <w:rPr>
                <w:rFonts w:hint="eastAsia"/>
              </w:rPr>
              <w:t>(Course Type)</w:t>
            </w:r>
          </w:p>
        </w:tc>
        <w:tc>
          <w:tcPr>
            <w:tcW w:w="7519" w:type="dxa"/>
            <w:gridSpan w:val="8"/>
            <w:vAlign w:val="center"/>
          </w:tcPr>
          <w:p>
            <w:r>
              <w:t>Exchange Programme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trike/>
              </w:rPr>
              <w:t xml:space="preserve">yes </w:t>
            </w:r>
            <w:r>
              <w:rPr>
                <w:rFonts w:hint="eastAsia"/>
              </w:rPr>
              <w:t>/ 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开课院系</w:t>
            </w:r>
          </w:p>
          <w:p>
            <w:pPr>
              <w:jc w:val="center"/>
            </w:pPr>
            <w:r>
              <w:rPr>
                <w:rFonts w:hint="eastAsia"/>
              </w:rPr>
              <w:t>（School）</w:t>
            </w:r>
          </w:p>
        </w:tc>
        <w:tc>
          <w:tcPr>
            <w:tcW w:w="3930" w:type="dxa"/>
            <w:gridSpan w:val="3"/>
            <w:vAlign w:val="center"/>
          </w:tcPr>
          <w:p>
            <w:r>
              <w:t xml:space="preserve">School of </w:t>
            </w:r>
            <w:r>
              <w:rPr>
                <w:rFonts w:hint="eastAsia"/>
              </w:rPr>
              <w:t>Foreign Languages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开课学期</w:t>
            </w:r>
          </w:p>
          <w:p>
            <w:pPr>
              <w:jc w:val="center"/>
            </w:pPr>
            <w:r>
              <w:rPr>
                <w:rFonts w:hint="eastAsia"/>
              </w:rPr>
              <w:t>（Term）</w:t>
            </w:r>
          </w:p>
        </w:tc>
        <w:tc>
          <w:tcPr>
            <w:tcW w:w="2329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Spring Semester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先修课程</w:t>
            </w:r>
          </w:p>
          <w:p>
            <w:pPr>
              <w:jc w:val="center"/>
            </w:pPr>
            <w:r>
              <w:rPr>
                <w:rFonts w:hint="eastAsia"/>
              </w:rPr>
              <w:t>（Prerequisite course）</w:t>
            </w:r>
          </w:p>
        </w:tc>
        <w:tc>
          <w:tcPr>
            <w:tcW w:w="7519" w:type="dxa"/>
            <w:gridSpan w:val="8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4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授课教师</w:t>
            </w:r>
          </w:p>
          <w:p>
            <w:pPr>
              <w:jc w:val="center"/>
            </w:pPr>
            <w:r>
              <w:rPr>
                <w:rFonts w:hint="eastAsia"/>
              </w:rPr>
              <w:t>（Instructors）</w:t>
            </w:r>
          </w:p>
        </w:tc>
        <w:tc>
          <w:tcPr>
            <w:tcW w:w="7508" w:type="dxa"/>
            <w:gridSpan w:val="7"/>
            <w:vAlign w:val="center"/>
          </w:tcPr>
          <w:p>
            <w:r>
              <w:rPr>
                <w:rFonts w:hint="eastAsia"/>
              </w:rPr>
              <w:t>Cheng Li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24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w w:val="90"/>
              </w:rPr>
            </w:pP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（Description）</w:t>
            </w:r>
          </w:p>
          <w:p>
            <w:pPr>
              <w:jc w:val="center"/>
            </w:pPr>
            <w:r>
              <w:rPr>
                <w:rFonts w:hint="eastAsia"/>
                <w:w w:val="90"/>
              </w:rPr>
              <w:t>300-500字</w:t>
            </w:r>
          </w:p>
        </w:tc>
        <w:tc>
          <w:tcPr>
            <w:tcW w:w="7519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pStyle w:val="15"/>
              <w:widowControl/>
              <w:shd w:val="clear" w:color="auto" w:fill="FFFFFF"/>
              <w:ind w:left="360" w:firstLine="0" w:firstLineChars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Subject Overview: </w:t>
            </w:r>
          </w:p>
          <w:p>
            <w:pPr>
              <w:widowControl/>
              <w:spacing w:before="100" w:beforeAutospacing="1" w:after="100" w:afterAutospacing="1"/>
              <w:ind w:left="424" w:leftChars="202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 xml:space="preserve">This course aims at giving </w:t>
            </w:r>
            <w:r>
              <w:rPr>
                <w:rFonts w:ascii="Times New Roman" w:hAnsi="Times New Roman"/>
                <w:sz w:val="24"/>
              </w:rPr>
              <w:t xml:space="preserve">a broad introduction to Shakespeare's dramatic works from a variety of thematic, historical or formal vantages. Approaches taken to the plays may include a chronological introduction to the development of Shakespeare's plays with considerations of principal themes through a number of Shakespearean plays in historical context. </w:t>
            </w:r>
            <w:r>
              <w:rPr>
                <w:rFonts w:hint="eastAsia" w:ascii="Times New Roman" w:hAnsi="Times New Roman"/>
                <w:sz w:val="24"/>
              </w:rPr>
              <w:t>S</w:t>
            </w:r>
            <w:r>
              <w:rPr>
                <w:rFonts w:ascii="Times New Roman" w:hAnsi="Times New Roman"/>
                <w:sz w:val="24"/>
              </w:rPr>
              <w:t>tudents are required to read original versions of Shakespeare’s dramatic works and prepare for text-analysis, in-class discussion, themed writings and performance.</w:t>
            </w:r>
          </w:p>
          <w:p>
            <w:pPr>
              <w:pStyle w:val="15"/>
              <w:widowControl/>
              <w:shd w:val="clear" w:color="auto" w:fill="FFFFFF"/>
              <w:ind w:left="360" w:firstLine="0" w:firstLineChars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Critical thinking is of vital importance in class-participation, panel discussion and group-presentation.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T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he course encourages the students to render theoretical as well as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aesthetic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evaluations and exchange their own thoughts in class.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924" w:type="dxa"/>
            <w:gridSpan w:val="9"/>
            <w:shd w:val="clear" w:color="auto" w:fill="D9D9D9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</w:trPr>
        <w:tc>
          <w:tcPr>
            <w:tcW w:w="2405" w:type="dxa"/>
            <w:vAlign w:val="center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*课程教学大纲</w:t>
            </w:r>
          </w:p>
          <w:p>
            <w:pPr>
              <w:jc w:val="left"/>
            </w:pPr>
            <w:r>
              <w:rPr>
                <w:rFonts w:hint="eastAsia"/>
              </w:rPr>
              <w:t>（</w:t>
            </w:r>
            <w:r>
              <w:t>course syllabus</w:t>
            </w:r>
            <w:r>
              <w:rPr>
                <w:rFonts w:hint="eastAsia"/>
              </w:rPr>
              <w:t>）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7519" w:type="dxa"/>
            <w:gridSpan w:val="8"/>
            <w:vAlign w:val="center"/>
          </w:tcPr>
          <w:p>
            <w:pPr>
              <w:pStyle w:val="15"/>
              <w:widowControl/>
              <w:shd w:val="clear" w:color="auto" w:fill="FFFFFF"/>
              <w:ind w:left="360" w:firstLine="0" w:firstLineChars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Learning outcomes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: 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After the course, the s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tudents would be able to meet the following requirements.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Be familiar with major dramatic works by Shakespeare.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Understand the cultural and literary traditions of the English world.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 xml:space="preserve">Be familiar with the main elements of drama as a literary genre. </w:t>
            </w:r>
          </w:p>
          <w:p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Understand and apply some general approaches to the analysis of dramatic works.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 w:ascii="Times New Roman" w:hAnsi="Times New Roman"/>
                <w:sz w:val="24"/>
                <w:szCs w:val="24"/>
              </w:rPr>
              <w:t>Be able to write a short episode of a play and put it on stage.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*教学内容、进度安排及要求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(</w:t>
            </w:r>
            <w:r>
              <w:t>Class Schedule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 xml:space="preserve">&amp; </w:t>
            </w:r>
            <w:r>
              <w:t>Requirements</w:t>
            </w:r>
            <w:r>
              <w:rPr>
                <w:rFonts w:hint="eastAsia"/>
              </w:rPr>
              <w:t>)</w:t>
            </w:r>
          </w:p>
        </w:tc>
        <w:tc>
          <w:tcPr>
            <w:tcW w:w="7519" w:type="dxa"/>
            <w:gridSpan w:val="8"/>
            <w:vAlign w:val="center"/>
          </w:tcPr>
          <w:p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  <w:r>
              <w:rPr>
                <w:rFonts w:ascii="Helvetica" w:hAnsi="Helvetica" w:cs="Helvetica"/>
                <w:kern w:val="0"/>
                <w:sz w:val="20"/>
                <w:szCs w:val="20"/>
              </w:rPr>
              <w:t>Topics / Credit hours / Teaching methodology / Tasks / Intended learning outcomes / Assessment methods</w:t>
            </w:r>
          </w:p>
          <w:p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</w:p>
          <w:p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1. Introduction /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2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Credit hours /  Lecture  / Null  /  Learn basic concepts / Quiz</w:t>
            </w:r>
          </w:p>
          <w:p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On </w:t>
            </w:r>
            <w:r>
              <w:rPr>
                <w:rFonts w:hint="eastAsia" w:ascii="Helvetica" w:hAnsi="Helvetica" w:cs="Helvetica"/>
                <w:i/>
                <w:kern w:val="0"/>
                <w:sz w:val="20"/>
                <w:szCs w:val="20"/>
              </w:rPr>
              <w:t>Romeo and Juliet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: Is it Fate?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6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Credit hours / Lecture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&amp;Class Discussion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Homework /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Comprehension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&amp;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Analysis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In-class Presentation</w:t>
            </w:r>
          </w:p>
          <w:p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3.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On </w:t>
            </w:r>
            <w:r>
              <w:rPr>
                <w:rFonts w:hint="eastAsia" w:ascii="Helvetica" w:hAnsi="Helvetica" w:cs="Helvetica"/>
                <w:i/>
                <w:kern w:val="0"/>
                <w:sz w:val="20"/>
                <w:szCs w:val="20"/>
              </w:rPr>
              <w:t>Hamlet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: What is revenge?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6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Credit hours / Lecture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&amp;Class Discussion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Homework /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Comprehension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&amp;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Analysis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In-class Presentation</w:t>
            </w:r>
          </w:p>
          <w:p>
            <w:pPr>
              <w:widowControl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/>
                <w:kern w:val="0"/>
                <w:sz w:val="20"/>
                <w:szCs w:val="20"/>
              </w:rPr>
            </w:pP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4.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On </w:t>
            </w:r>
            <w:r>
              <w:rPr>
                <w:rFonts w:hint="eastAsia" w:ascii="Helvetica" w:hAnsi="Helvetica" w:cs="Helvetica"/>
                <w:i/>
                <w:kern w:val="0"/>
                <w:sz w:val="20"/>
                <w:szCs w:val="20"/>
              </w:rPr>
              <w:t>The Merchant of Venice: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How does justice work out?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/ 6 Credit hours / Lecture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&amp;Class Discussion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Homework /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Comprehension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&amp;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Analysis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In-class Presentation</w:t>
            </w:r>
          </w:p>
          <w:p>
            <w:pPr>
              <w:rPr>
                <w:rFonts w:ascii="Helvetica" w:hAnsi="Helvetica" w:cs="Helvetica"/>
                <w:kern w:val="0"/>
                <w:sz w:val="20"/>
                <w:szCs w:val="20"/>
              </w:rPr>
            </w:pP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5.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On </w:t>
            </w:r>
            <w:r>
              <w:rPr>
                <w:rFonts w:hint="eastAsia" w:ascii="Helvetica" w:hAnsi="Helvetica" w:cs="Helvetica"/>
                <w:i/>
                <w:kern w:val="0"/>
                <w:sz w:val="20"/>
                <w:szCs w:val="20"/>
              </w:rPr>
              <w:t>Macbeth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: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The power of ambition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/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6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Credit hours / Lecture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&amp;Class Discussion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Homework /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Comprehension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&amp;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Analysis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In-class Presentation</w:t>
            </w:r>
          </w:p>
          <w:p>
            <w:pPr>
              <w:rPr>
                <w:rFonts w:ascii="Helvetica" w:hAnsi="Helvetica" w:cs="Helvetica"/>
                <w:kern w:val="0"/>
                <w:sz w:val="20"/>
                <w:szCs w:val="20"/>
              </w:rPr>
            </w:pP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6. On </w:t>
            </w:r>
            <w:r>
              <w:rPr>
                <w:rFonts w:hint="eastAsia" w:ascii="Helvetica" w:hAnsi="Helvetica" w:cs="Helvetica"/>
                <w:i/>
                <w:kern w:val="0"/>
                <w:sz w:val="20"/>
                <w:szCs w:val="20"/>
              </w:rPr>
              <w:t>The Mid-summer Night</w:t>
            </w:r>
            <w:r>
              <w:rPr>
                <w:rFonts w:ascii="Helvetica" w:hAnsi="Helvetica" w:cs="Helvetica"/>
                <w:i/>
                <w:kern w:val="0"/>
                <w:sz w:val="20"/>
                <w:szCs w:val="20"/>
              </w:rPr>
              <w:t>’</w:t>
            </w:r>
            <w:r>
              <w:rPr>
                <w:rFonts w:hint="eastAsia" w:ascii="Helvetica" w:hAnsi="Helvetica" w:cs="Helvetica"/>
                <w:i/>
                <w:kern w:val="0"/>
                <w:sz w:val="20"/>
                <w:szCs w:val="20"/>
              </w:rPr>
              <w:t>s Dream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: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Fantasy vs. Reality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/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4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Credit hours / Lecture 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&amp;Class Discussion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 Homework /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Comprehension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&amp;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Analysis</w:t>
            </w:r>
            <w:r>
              <w:rPr>
                <w:rFonts w:ascii="Helvetica" w:hAnsi="Helvetica" w:cs="Helvetica"/>
                <w:kern w:val="0"/>
                <w:sz w:val="20"/>
                <w:szCs w:val="20"/>
              </w:rPr>
              <w:t xml:space="preserve"> /</w:t>
            </w: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 xml:space="preserve"> In-class Presentation</w:t>
            </w:r>
          </w:p>
          <w:p>
            <w:pPr>
              <w:rPr>
                <w:rFonts w:ascii="Helvetica" w:hAnsi="Helvetica" w:cs="Helvetica"/>
                <w:kern w:val="0"/>
                <w:sz w:val="20"/>
                <w:szCs w:val="20"/>
              </w:rPr>
            </w:pPr>
            <w:r>
              <w:rPr>
                <w:rFonts w:hint="eastAsia" w:ascii="Helvetica" w:hAnsi="Helvetica" w:cs="Helvetica"/>
                <w:kern w:val="0"/>
                <w:sz w:val="20"/>
                <w:szCs w:val="20"/>
              </w:rPr>
              <w:t>7. Performance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4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考核方式</w:t>
            </w:r>
          </w:p>
          <w:p>
            <w:pPr>
              <w:jc w:val="center"/>
            </w:pPr>
            <w:r>
              <w:rPr>
                <w:rFonts w:hint="eastAsia"/>
              </w:rPr>
              <w:t>(Assessment methods and Grading)</w:t>
            </w:r>
          </w:p>
        </w:tc>
        <w:tc>
          <w:tcPr>
            <w:tcW w:w="7519" w:type="dxa"/>
            <w:gridSpan w:val="8"/>
            <w:vAlign w:val="center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0% / Participation / Focus on the ability of independent thinking and in-class interaction</w:t>
            </w:r>
          </w:p>
          <w:p>
            <w:pPr>
              <w:jc w:val="left"/>
            </w:pPr>
            <w:r>
              <w:rPr>
                <w:rFonts w:hint="eastAsia"/>
              </w:rPr>
              <w:t>15</w:t>
            </w:r>
            <w:r>
              <w:t xml:space="preserve">% / Homework / Focus on understanding of the fundamental principles and </w:t>
            </w:r>
            <w:r>
              <w:rPr>
                <w:rFonts w:hint="eastAsia"/>
              </w:rPr>
              <w:t>analysis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15% / Performance / Focus </w:t>
            </w:r>
            <w:r>
              <w:t>on individual understanding and performing</w:t>
            </w:r>
          </w:p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 xml:space="preserve">0% / </w:t>
            </w:r>
            <w:r>
              <w:rPr>
                <w:rFonts w:hint="eastAsia"/>
              </w:rPr>
              <w:t>Course Paper</w:t>
            </w:r>
            <w:r>
              <w:t xml:space="preserve"> / Focus on </w:t>
            </w:r>
            <w:r>
              <w:rPr>
                <w:rFonts w:hint="eastAsia"/>
              </w:rPr>
              <w:t>analysis and logical interpretation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24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教材或参考资料</w:t>
            </w:r>
          </w:p>
          <w:p>
            <w:pPr>
              <w:jc w:val="center"/>
            </w:pPr>
            <w:r>
              <w:rPr>
                <w:rFonts w:hint="eastAsia"/>
              </w:rPr>
              <w:t>(Textbooks )</w:t>
            </w:r>
          </w:p>
        </w:tc>
        <w:tc>
          <w:tcPr>
            <w:tcW w:w="7519" w:type="dxa"/>
            <w:gridSpan w:val="8"/>
            <w:vAlign w:val="center"/>
          </w:tcPr>
          <w:p>
            <w:r>
              <w:rPr>
                <w:rFonts w:hint="eastAsia"/>
              </w:rPr>
              <w:t>Teaching files &amp; Handouts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24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参考书目</w:t>
            </w:r>
          </w:p>
          <w:p>
            <w:pPr>
              <w:jc w:val="center"/>
            </w:pPr>
            <w:r>
              <w:rPr>
                <w:rFonts w:hint="eastAsia"/>
              </w:rPr>
              <w:t>Reading Materials list</w:t>
            </w:r>
          </w:p>
        </w:tc>
        <w:tc>
          <w:tcPr>
            <w:tcW w:w="7519" w:type="dxa"/>
            <w:gridSpan w:val="8"/>
            <w:vAlign w:val="center"/>
          </w:tcPr>
          <w:p>
            <w:r>
              <w:rPr>
                <w:rFonts w:hint="eastAsia"/>
              </w:rPr>
              <w:t>1. Margreta de Grazia and Stanley Wells, eds. The Cambridge Companion to Shakespeare, Cambridge University Press, 2001.</w:t>
            </w:r>
          </w:p>
          <w:p>
            <w:r>
              <w:rPr>
                <w:rFonts w:hint="eastAsia"/>
              </w:rPr>
              <w:t xml:space="preserve">2. </w:t>
            </w:r>
            <w:r>
              <w:rPr>
                <w:szCs w:val="21"/>
              </w:rPr>
              <w:t>David M. Bevington</w:t>
            </w:r>
            <w:r>
              <w:rPr>
                <w:rFonts w:hint="eastAsia"/>
                <w:szCs w:val="21"/>
              </w:rPr>
              <w:t xml:space="preserve">. </w:t>
            </w:r>
            <w:r>
              <w:rPr>
                <w:i/>
                <w:szCs w:val="21"/>
              </w:rPr>
              <w:t>How to read a Shakespeare play</w:t>
            </w:r>
            <w:r>
              <w:rPr>
                <w:rFonts w:hint="eastAsia"/>
                <w:szCs w:val="21"/>
              </w:rPr>
              <w:t>. New Jersey: Baker &amp; Tayl, 2006.</w:t>
            </w:r>
          </w:p>
        </w:tc>
      </w:tr>
    </w:tbl>
    <w:p>
      <w:pPr>
        <w:spacing w:line="4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eteo">
    <w:altName w:val="Segoe Print"/>
    <w:panose1 w:val="00000000000000000000"/>
    <w:charset w:val="00"/>
    <w:family w:val="auto"/>
    <w:pitch w:val="default"/>
    <w:sig w:usb0="00000000" w:usb1="00000000" w:usb2="00000000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93920"/>
    <w:multiLevelType w:val="multilevel"/>
    <w:tmpl w:val="15E9392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46DFD"/>
    <w:rsid w:val="00050F81"/>
    <w:rsid w:val="000579D8"/>
    <w:rsid w:val="0006061D"/>
    <w:rsid w:val="00065C8F"/>
    <w:rsid w:val="0009437D"/>
    <w:rsid w:val="00096C6D"/>
    <w:rsid w:val="000A3107"/>
    <w:rsid w:val="000A548F"/>
    <w:rsid w:val="000B4F6B"/>
    <w:rsid w:val="000B5B61"/>
    <w:rsid w:val="000C4BA4"/>
    <w:rsid w:val="00124F58"/>
    <w:rsid w:val="001260ED"/>
    <w:rsid w:val="00133ABB"/>
    <w:rsid w:val="001473BE"/>
    <w:rsid w:val="00152B75"/>
    <w:rsid w:val="001552DE"/>
    <w:rsid w:val="00160181"/>
    <w:rsid w:val="001A4FE4"/>
    <w:rsid w:val="001C7AD8"/>
    <w:rsid w:val="001D0BF5"/>
    <w:rsid w:val="001E73FD"/>
    <w:rsid w:val="00207DEF"/>
    <w:rsid w:val="00213D1E"/>
    <w:rsid w:val="00227A34"/>
    <w:rsid w:val="002365C0"/>
    <w:rsid w:val="0026569D"/>
    <w:rsid w:val="0027674C"/>
    <w:rsid w:val="0028182B"/>
    <w:rsid w:val="0028463A"/>
    <w:rsid w:val="0029575C"/>
    <w:rsid w:val="002A157D"/>
    <w:rsid w:val="002A6549"/>
    <w:rsid w:val="002A7980"/>
    <w:rsid w:val="002B6537"/>
    <w:rsid w:val="003036D4"/>
    <w:rsid w:val="003237D3"/>
    <w:rsid w:val="00335F05"/>
    <w:rsid w:val="00341CDD"/>
    <w:rsid w:val="00363B3C"/>
    <w:rsid w:val="00366702"/>
    <w:rsid w:val="003715C0"/>
    <w:rsid w:val="00377008"/>
    <w:rsid w:val="003948E3"/>
    <w:rsid w:val="00395246"/>
    <w:rsid w:val="003C4422"/>
    <w:rsid w:val="003C7B1D"/>
    <w:rsid w:val="003D10F5"/>
    <w:rsid w:val="003E65CC"/>
    <w:rsid w:val="00446816"/>
    <w:rsid w:val="00461685"/>
    <w:rsid w:val="00474457"/>
    <w:rsid w:val="00487AD7"/>
    <w:rsid w:val="004921CE"/>
    <w:rsid w:val="004D4153"/>
    <w:rsid w:val="004D62C4"/>
    <w:rsid w:val="004E283B"/>
    <w:rsid w:val="00511D50"/>
    <w:rsid w:val="00520B0A"/>
    <w:rsid w:val="00565461"/>
    <w:rsid w:val="005675A1"/>
    <w:rsid w:val="00577467"/>
    <w:rsid w:val="00577ECF"/>
    <w:rsid w:val="00591ACE"/>
    <w:rsid w:val="005B52BE"/>
    <w:rsid w:val="005E1D5A"/>
    <w:rsid w:val="005F2A18"/>
    <w:rsid w:val="005F49AB"/>
    <w:rsid w:val="0061590F"/>
    <w:rsid w:val="00656964"/>
    <w:rsid w:val="00663B60"/>
    <w:rsid w:val="00686943"/>
    <w:rsid w:val="006A13AE"/>
    <w:rsid w:val="006C7FAF"/>
    <w:rsid w:val="006D3645"/>
    <w:rsid w:val="006F1849"/>
    <w:rsid w:val="006F49C1"/>
    <w:rsid w:val="00707583"/>
    <w:rsid w:val="0074127F"/>
    <w:rsid w:val="0074363B"/>
    <w:rsid w:val="00750079"/>
    <w:rsid w:val="00784A11"/>
    <w:rsid w:val="00795F2D"/>
    <w:rsid w:val="007A19E1"/>
    <w:rsid w:val="007D4099"/>
    <w:rsid w:val="007E4B77"/>
    <w:rsid w:val="008158EA"/>
    <w:rsid w:val="00823ACC"/>
    <w:rsid w:val="00824EE3"/>
    <w:rsid w:val="00825C1B"/>
    <w:rsid w:val="00857453"/>
    <w:rsid w:val="008769AB"/>
    <w:rsid w:val="00890F38"/>
    <w:rsid w:val="008954B7"/>
    <w:rsid w:val="008A7203"/>
    <w:rsid w:val="00901F86"/>
    <w:rsid w:val="00904EBA"/>
    <w:rsid w:val="0090604F"/>
    <w:rsid w:val="00914081"/>
    <w:rsid w:val="009202E6"/>
    <w:rsid w:val="009276E2"/>
    <w:rsid w:val="00931F97"/>
    <w:rsid w:val="009325A7"/>
    <w:rsid w:val="0094583E"/>
    <w:rsid w:val="009521A6"/>
    <w:rsid w:val="009744FC"/>
    <w:rsid w:val="00983A28"/>
    <w:rsid w:val="009A0D3D"/>
    <w:rsid w:val="009A1233"/>
    <w:rsid w:val="009A13D5"/>
    <w:rsid w:val="009C2014"/>
    <w:rsid w:val="009E73FA"/>
    <w:rsid w:val="00A227CF"/>
    <w:rsid w:val="00A3078F"/>
    <w:rsid w:val="00A37564"/>
    <w:rsid w:val="00A54CA9"/>
    <w:rsid w:val="00A61B1F"/>
    <w:rsid w:val="00A90D75"/>
    <w:rsid w:val="00A960D0"/>
    <w:rsid w:val="00AC1B9C"/>
    <w:rsid w:val="00AC5156"/>
    <w:rsid w:val="00AD0114"/>
    <w:rsid w:val="00AD3765"/>
    <w:rsid w:val="00AD7DBD"/>
    <w:rsid w:val="00AD7E02"/>
    <w:rsid w:val="00B05FFC"/>
    <w:rsid w:val="00B10595"/>
    <w:rsid w:val="00B20254"/>
    <w:rsid w:val="00B22453"/>
    <w:rsid w:val="00B328AD"/>
    <w:rsid w:val="00B41900"/>
    <w:rsid w:val="00B56177"/>
    <w:rsid w:val="00B74383"/>
    <w:rsid w:val="00B970D8"/>
    <w:rsid w:val="00BE022B"/>
    <w:rsid w:val="00C46B87"/>
    <w:rsid w:val="00C73038"/>
    <w:rsid w:val="00C85828"/>
    <w:rsid w:val="00CB685A"/>
    <w:rsid w:val="00CF32A8"/>
    <w:rsid w:val="00CF5B10"/>
    <w:rsid w:val="00CF7312"/>
    <w:rsid w:val="00D130CC"/>
    <w:rsid w:val="00D1758F"/>
    <w:rsid w:val="00D23BC7"/>
    <w:rsid w:val="00D331C7"/>
    <w:rsid w:val="00D41A07"/>
    <w:rsid w:val="00D43323"/>
    <w:rsid w:val="00D47A4D"/>
    <w:rsid w:val="00D644B5"/>
    <w:rsid w:val="00D73A3C"/>
    <w:rsid w:val="00D834C8"/>
    <w:rsid w:val="00D85250"/>
    <w:rsid w:val="00DA2948"/>
    <w:rsid w:val="00DA2FEA"/>
    <w:rsid w:val="00DB5794"/>
    <w:rsid w:val="00DC7BDC"/>
    <w:rsid w:val="00DF671F"/>
    <w:rsid w:val="00E025AD"/>
    <w:rsid w:val="00E06426"/>
    <w:rsid w:val="00E30BA9"/>
    <w:rsid w:val="00E43921"/>
    <w:rsid w:val="00E54B0F"/>
    <w:rsid w:val="00E90402"/>
    <w:rsid w:val="00E953DB"/>
    <w:rsid w:val="00EA259D"/>
    <w:rsid w:val="00EB20C0"/>
    <w:rsid w:val="00EC1070"/>
    <w:rsid w:val="00EC754E"/>
    <w:rsid w:val="00ED2940"/>
    <w:rsid w:val="00ED30B5"/>
    <w:rsid w:val="00F262EB"/>
    <w:rsid w:val="00F565A1"/>
    <w:rsid w:val="00F74422"/>
    <w:rsid w:val="00F746B7"/>
    <w:rsid w:val="00F81FA7"/>
    <w:rsid w:val="00F83BE7"/>
    <w:rsid w:val="00FA7B6D"/>
    <w:rsid w:val="00FC687D"/>
    <w:rsid w:val="00FE20EB"/>
    <w:rsid w:val="00FE38B4"/>
    <w:rsid w:val="00FE4D40"/>
    <w:rsid w:val="2352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styleId="7">
    <w:name w:val="Hyperlink"/>
    <w:semiHidden/>
    <w:unhideWhenUsed/>
    <w:uiPriority w:val="99"/>
    <w:rPr>
      <w:color w:val="0000FF"/>
      <w:u w:val="none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彩色列表 - 强调文字颜色 11"/>
    <w:basedOn w:val="1"/>
    <w:qFormat/>
    <w:uiPriority w:val="34"/>
    <w:pPr>
      <w:ind w:firstLine="420" w:firstLineChars="200"/>
    </w:pPr>
  </w:style>
  <w:style w:type="paragraph" w:customStyle="1" w:styleId="11">
    <w:name w:val="样式2"/>
    <w:basedOn w:val="1"/>
    <w:uiPriority w:val="0"/>
    <w:rPr>
      <w:rFonts w:ascii="宋体" w:hAnsi="宋体" w:cs="Symeteo"/>
      <w:bCs/>
      <w:color w:val="FF0000"/>
      <w:sz w:val="24"/>
      <w:szCs w:val="24"/>
    </w:rPr>
  </w:style>
  <w:style w:type="character" w:customStyle="1" w:styleId="12">
    <w:name w:val="批注框文本 Char"/>
    <w:link w:val="2"/>
    <w:semiHidden/>
    <w:uiPriority w:val="99"/>
    <w:rPr>
      <w:sz w:val="18"/>
      <w:szCs w:val="18"/>
    </w:rPr>
  </w:style>
  <w:style w:type="character" w:customStyle="1" w:styleId="13">
    <w:name w:val="页眉 Char"/>
    <w:link w:val="4"/>
    <w:uiPriority w:val="99"/>
    <w:rPr>
      <w:sz w:val="18"/>
      <w:szCs w:val="18"/>
    </w:rPr>
  </w:style>
  <w:style w:type="character" w:customStyle="1" w:styleId="14">
    <w:name w:val="页脚 Char"/>
    <w:link w:val="3"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495</Words>
  <Characters>2825</Characters>
  <Lines>23</Lines>
  <Paragraphs>6</Paragraphs>
  <TotalTime>1</TotalTime>
  <ScaleCrop>false</ScaleCrop>
  <LinksUpToDate>false</LinksUpToDate>
  <CharactersWithSpaces>3314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2017-11-19T11:38:00Z</dcterms:created>
  <dc:creator>xiqiang yang</dc:creator>
  <cp:lastModifiedBy>丫丫</cp:lastModifiedBy>
  <cp:lastPrinted>2014-04-28T01:34:00Z</cp:lastPrinted>
  <dcterms:modified xsi:type="dcterms:W3CDTF">2018-12-12T03:00:00Z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